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6F39F" w14:textId="24706759" w:rsidR="00474F2A" w:rsidRDefault="00474F2A" w:rsidP="00474F2A">
      <w:pPr>
        <w:ind w:firstLine="720"/>
        <w:jc w:val="center"/>
        <w:rPr>
          <w:rFonts w:cs="Times New Roman"/>
        </w:rPr>
      </w:pPr>
      <w:r w:rsidRPr="00474F2A">
        <w:rPr>
          <w:rFonts w:cs="Times New Roman"/>
          <w:b/>
          <w:bCs/>
        </w:rPr>
        <w:t xml:space="preserve">Apéndice </w:t>
      </w:r>
      <w:r w:rsidR="00051166">
        <w:rPr>
          <w:rFonts w:cs="Times New Roman"/>
          <w:b/>
          <w:bCs/>
        </w:rPr>
        <w:t>F</w:t>
      </w:r>
      <w:r>
        <w:rPr>
          <w:rFonts w:cs="Times New Roman"/>
        </w:rPr>
        <w:t>. Estimación de demanda.</w:t>
      </w:r>
    </w:p>
    <w:p w14:paraId="3EDE8C75" w14:textId="07DF4641" w:rsidR="00474F2A" w:rsidRPr="00E715BC" w:rsidRDefault="00474F2A" w:rsidP="00474F2A">
      <w:pPr>
        <w:ind w:firstLine="720"/>
        <w:rPr>
          <w:rFonts w:cs="Times New Roman"/>
        </w:rPr>
      </w:pPr>
      <w:r w:rsidRPr="00E715BC">
        <w:rPr>
          <w:rFonts w:cs="Times New Roman"/>
        </w:rPr>
        <w:t xml:space="preserve">Para hacer una estimación de la demanda, y según los datos obtenidos en la investigación de mercados, se realiza una segmentación del mercado potencial en base a los siguientes criterios de la Tabla 4. Cabe destacar que el número de muestra de población (n) fue obtenido con el flujo turístico semanal del municipio de Gámbita, para la estimación de la demanda es necesario obtener esta cifra anualmente por lo que la población(n) será multiplicado por el número de semanas anuales (52). </w:t>
      </w:r>
    </w:p>
    <w:p w14:paraId="7ABF29CF" w14:textId="77777777" w:rsidR="00474F2A" w:rsidRDefault="00474F2A" w:rsidP="00474F2A">
      <w:pPr>
        <w:pStyle w:val="Descripcin"/>
        <w:keepNext/>
        <w:rPr>
          <w:rFonts w:cs="Times New Roman"/>
          <w:b/>
          <w:bCs/>
          <w:i w:val="0"/>
          <w:iCs w:val="0"/>
          <w:color w:val="auto"/>
          <w:sz w:val="24"/>
          <w:szCs w:val="24"/>
        </w:rPr>
      </w:pPr>
      <w:bookmarkStart w:id="0" w:name="_Toc188876755"/>
      <w:bookmarkStart w:id="1" w:name="_Toc164502343"/>
      <w:r w:rsidRPr="00E715BC">
        <w:rPr>
          <w:rFonts w:cs="Times New Roman"/>
          <w:b/>
          <w:bCs/>
          <w:i w:val="0"/>
          <w:iCs w:val="0"/>
          <w:color w:val="auto"/>
          <w:sz w:val="24"/>
          <w:szCs w:val="24"/>
        </w:rPr>
        <w:t xml:space="preserve">Tabla </w:t>
      </w:r>
      <w:r w:rsidRPr="00E715BC">
        <w:rPr>
          <w:rFonts w:cs="Times New Roman"/>
          <w:b/>
          <w:bCs/>
          <w:i w:val="0"/>
          <w:iCs w:val="0"/>
          <w:color w:val="auto"/>
          <w:sz w:val="24"/>
          <w:szCs w:val="24"/>
        </w:rPr>
        <w:fldChar w:fldCharType="begin"/>
      </w:r>
      <w:r w:rsidRPr="00E715BC">
        <w:rPr>
          <w:rFonts w:cs="Times New Roman"/>
          <w:b/>
          <w:bCs/>
          <w:i w:val="0"/>
          <w:iCs w:val="0"/>
          <w:color w:val="auto"/>
          <w:sz w:val="24"/>
          <w:szCs w:val="24"/>
        </w:rPr>
        <w:instrText xml:space="preserve"> SEQ Tabla \* ARABIC </w:instrText>
      </w:r>
      <w:r w:rsidRPr="00E715BC">
        <w:rPr>
          <w:rFonts w:cs="Times New Roman"/>
          <w:b/>
          <w:bCs/>
          <w:i w:val="0"/>
          <w:iCs w:val="0"/>
          <w:color w:val="auto"/>
          <w:sz w:val="24"/>
          <w:szCs w:val="24"/>
        </w:rPr>
        <w:fldChar w:fldCharType="separate"/>
      </w:r>
      <w:r>
        <w:rPr>
          <w:rFonts w:cs="Times New Roman"/>
          <w:b/>
          <w:bCs/>
          <w:i w:val="0"/>
          <w:iCs w:val="0"/>
          <w:noProof/>
          <w:color w:val="auto"/>
          <w:sz w:val="24"/>
          <w:szCs w:val="24"/>
        </w:rPr>
        <w:t>4</w:t>
      </w:r>
      <w:r w:rsidRPr="00E715BC">
        <w:rPr>
          <w:rFonts w:cs="Times New Roman"/>
          <w:b/>
          <w:bCs/>
          <w:i w:val="0"/>
          <w:iCs w:val="0"/>
          <w:color w:val="auto"/>
          <w:sz w:val="24"/>
          <w:szCs w:val="24"/>
        </w:rPr>
        <w:fldChar w:fldCharType="end"/>
      </w:r>
      <w:r w:rsidRPr="00E715BC">
        <w:rPr>
          <w:rFonts w:cs="Times New Roman"/>
          <w:b/>
          <w:bCs/>
          <w:i w:val="0"/>
          <w:iCs w:val="0"/>
          <w:color w:val="auto"/>
          <w:sz w:val="24"/>
          <w:szCs w:val="24"/>
        </w:rPr>
        <w:t>.</w:t>
      </w:r>
      <w:bookmarkEnd w:id="0"/>
      <w:r w:rsidRPr="00E715BC">
        <w:rPr>
          <w:rFonts w:cs="Times New Roman"/>
          <w:b/>
          <w:bCs/>
          <w:i w:val="0"/>
          <w:iCs w:val="0"/>
          <w:color w:val="auto"/>
          <w:sz w:val="24"/>
          <w:szCs w:val="24"/>
        </w:rPr>
        <w:t xml:space="preserve"> </w:t>
      </w:r>
    </w:p>
    <w:p w14:paraId="12B3EB14" w14:textId="77777777" w:rsidR="00474F2A" w:rsidRPr="00E715BC" w:rsidRDefault="00474F2A" w:rsidP="00474F2A">
      <w:pPr>
        <w:pStyle w:val="Descripcin"/>
        <w:keepNext/>
        <w:rPr>
          <w:rFonts w:cs="Times New Roman"/>
          <w:color w:val="auto"/>
          <w:sz w:val="24"/>
          <w:szCs w:val="24"/>
        </w:rPr>
      </w:pPr>
      <w:r w:rsidRPr="00E715BC">
        <w:rPr>
          <w:rFonts w:cs="Times New Roman"/>
          <w:color w:val="auto"/>
          <w:sz w:val="24"/>
          <w:szCs w:val="24"/>
        </w:rPr>
        <w:t>Demanda Potencial</w:t>
      </w:r>
      <w:bookmarkEnd w:id="1"/>
      <w:r w:rsidRPr="00E715BC">
        <w:rPr>
          <w:rFonts w:cs="Times New Roman"/>
          <w:color w:val="auto"/>
          <w:sz w:val="24"/>
          <w:szCs w:val="24"/>
        </w:rPr>
        <w:t xml:space="preserve"> </w:t>
      </w:r>
    </w:p>
    <w:tbl>
      <w:tblPr>
        <w:tblStyle w:val="Tabladelista7concolores"/>
        <w:tblW w:w="0" w:type="auto"/>
        <w:tblLook w:val="04A0" w:firstRow="1" w:lastRow="0" w:firstColumn="1" w:lastColumn="0" w:noHBand="0" w:noVBand="1"/>
      </w:tblPr>
      <w:tblGrid>
        <w:gridCol w:w="6096"/>
        <w:gridCol w:w="1596"/>
      </w:tblGrid>
      <w:tr w:rsidR="00474F2A" w:rsidRPr="00E715BC" w14:paraId="6765196F" w14:textId="77777777" w:rsidTr="002748C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096" w:type="dxa"/>
            <w:tcBorders>
              <w:top w:val="single" w:sz="4" w:space="0" w:color="auto"/>
            </w:tcBorders>
          </w:tcPr>
          <w:p w14:paraId="1B4E21EE" w14:textId="77777777" w:rsidR="00474F2A" w:rsidRPr="00E715BC" w:rsidRDefault="00474F2A" w:rsidP="002748C7">
            <w:pPr>
              <w:spacing w:line="276" w:lineRule="auto"/>
              <w:jc w:val="center"/>
              <w:rPr>
                <w:rFonts w:cs="Times New Roman"/>
                <w:i w:val="0"/>
                <w:iCs w:val="0"/>
                <w:color w:val="auto"/>
                <w:sz w:val="20"/>
                <w:szCs w:val="20"/>
              </w:rPr>
            </w:pPr>
            <w:r w:rsidRPr="00E715BC">
              <w:rPr>
                <w:rFonts w:cs="Times New Roman"/>
                <w:i w:val="0"/>
                <w:iCs w:val="0"/>
                <w:color w:val="auto"/>
                <w:sz w:val="20"/>
                <w:szCs w:val="20"/>
              </w:rPr>
              <w:t>Flujo de turistas en el municipio de Gámbita, Santander</w:t>
            </w:r>
          </w:p>
        </w:tc>
        <w:tc>
          <w:tcPr>
            <w:tcW w:w="1596" w:type="dxa"/>
            <w:tcBorders>
              <w:top w:val="single" w:sz="4" w:space="0" w:color="auto"/>
            </w:tcBorders>
          </w:tcPr>
          <w:p w14:paraId="1F785BC3" w14:textId="77777777" w:rsidR="00474F2A" w:rsidRPr="00E715BC" w:rsidRDefault="00474F2A" w:rsidP="002748C7">
            <w:pPr>
              <w:spacing w:line="276" w:lineRule="auto"/>
              <w:ind w:firstLine="720"/>
              <w:jc w:val="center"/>
              <w:cnfStyle w:val="100000000000" w:firstRow="1" w:lastRow="0" w:firstColumn="0" w:lastColumn="0" w:oddVBand="0" w:evenVBand="0" w:oddHBand="0" w:evenHBand="0" w:firstRowFirstColumn="0" w:firstRowLastColumn="0" w:lastRowFirstColumn="0" w:lastRowLastColumn="0"/>
              <w:rPr>
                <w:rFonts w:cs="Times New Roman"/>
                <w:i w:val="0"/>
                <w:iCs w:val="0"/>
                <w:color w:val="auto"/>
                <w:sz w:val="20"/>
                <w:szCs w:val="20"/>
              </w:rPr>
            </w:pPr>
            <w:r w:rsidRPr="00E715BC">
              <w:rPr>
                <w:rFonts w:cs="Times New Roman"/>
                <w:i w:val="0"/>
                <w:iCs w:val="0"/>
                <w:color w:val="auto"/>
                <w:sz w:val="20"/>
                <w:szCs w:val="20"/>
              </w:rPr>
              <w:t>18.980</w:t>
            </w:r>
          </w:p>
        </w:tc>
      </w:tr>
      <w:tr w:rsidR="00474F2A" w:rsidRPr="00E715BC" w14:paraId="5D165DB1" w14:textId="77777777" w:rsidTr="002748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2C8DB01C" w14:textId="77777777" w:rsidR="00474F2A" w:rsidRPr="00E715BC" w:rsidRDefault="00474F2A" w:rsidP="002748C7">
            <w:pPr>
              <w:spacing w:line="276" w:lineRule="auto"/>
              <w:rPr>
                <w:rFonts w:cs="Times New Roman"/>
                <w:i w:val="0"/>
                <w:iCs w:val="0"/>
                <w:color w:val="auto"/>
                <w:sz w:val="20"/>
                <w:szCs w:val="20"/>
              </w:rPr>
            </w:pPr>
            <w:r w:rsidRPr="00E715BC">
              <w:rPr>
                <w:rFonts w:cs="Times New Roman"/>
                <w:i w:val="0"/>
                <w:iCs w:val="0"/>
                <w:color w:val="auto"/>
                <w:sz w:val="20"/>
                <w:szCs w:val="20"/>
              </w:rPr>
              <w:t xml:space="preserve">Turista promedio que reservaría un Ecohotel al menos una vez al año. </w:t>
            </w:r>
          </w:p>
        </w:tc>
        <w:tc>
          <w:tcPr>
            <w:tcW w:w="1596" w:type="dxa"/>
          </w:tcPr>
          <w:p w14:paraId="52A9F484" w14:textId="77777777" w:rsidR="00474F2A" w:rsidRPr="00E715BC" w:rsidRDefault="00474F2A" w:rsidP="002748C7">
            <w:pPr>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auto"/>
                <w:sz w:val="20"/>
                <w:szCs w:val="20"/>
              </w:rPr>
            </w:pPr>
            <w:r w:rsidRPr="00E715BC">
              <w:rPr>
                <w:rFonts w:cs="Times New Roman"/>
                <w:color w:val="auto"/>
                <w:sz w:val="20"/>
                <w:szCs w:val="20"/>
              </w:rPr>
              <w:t>97,8%</w:t>
            </w:r>
          </w:p>
        </w:tc>
      </w:tr>
      <w:tr w:rsidR="00474F2A" w:rsidRPr="00E715BC" w14:paraId="348C2140" w14:textId="77777777" w:rsidTr="002748C7">
        <w:tc>
          <w:tcPr>
            <w:cnfStyle w:val="001000000000" w:firstRow="0" w:lastRow="0" w:firstColumn="1" w:lastColumn="0" w:oddVBand="0" w:evenVBand="0" w:oddHBand="0" w:evenHBand="0" w:firstRowFirstColumn="0" w:firstRowLastColumn="0" w:lastRowFirstColumn="0" w:lastRowLastColumn="0"/>
            <w:tcW w:w="6096" w:type="dxa"/>
          </w:tcPr>
          <w:p w14:paraId="3E15452A" w14:textId="77777777" w:rsidR="00474F2A" w:rsidRPr="00E715BC" w:rsidRDefault="00474F2A" w:rsidP="002748C7">
            <w:pPr>
              <w:spacing w:line="276" w:lineRule="auto"/>
              <w:rPr>
                <w:rFonts w:cs="Times New Roman"/>
                <w:i w:val="0"/>
                <w:iCs w:val="0"/>
                <w:color w:val="auto"/>
                <w:sz w:val="20"/>
                <w:szCs w:val="20"/>
              </w:rPr>
            </w:pPr>
            <w:r w:rsidRPr="00E715BC">
              <w:rPr>
                <w:rFonts w:cs="Times New Roman"/>
                <w:i w:val="0"/>
                <w:iCs w:val="0"/>
                <w:color w:val="auto"/>
                <w:sz w:val="20"/>
                <w:szCs w:val="20"/>
              </w:rPr>
              <w:t xml:space="preserve">Interés del turista por hospedarse en un Ecohotel </w:t>
            </w:r>
          </w:p>
        </w:tc>
        <w:tc>
          <w:tcPr>
            <w:tcW w:w="1596" w:type="dxa"/>
          </w:tcPr>
          <w:p w14:paraId="510B2B62" w14:textId="77777777" w:rsidR="00474F2A" w:rsidRPr="00E715BC" w:rsidRDefault="00474F2A" w:rsidP="002748C7">
            <w:pPr>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auto"/>
                <w:sz w:val="20"/>
                <w:szCs w:val="20"/>
              </w:rPr>
            </w:pPr>
            <w:r w:rsidRPr="00E715BC">
              <w:rPr>
                <w:rFonts w:cs="Times New Roman"/>
                <w:color w:val="auto"/>
                <w:sz w:val="20"/>
                <w:szCs w:val="20"/>
              </w:rPr>
              <w:t>95,1%</w:t>
            </w:r>
          </w:p>
        </w:tc>
      </w:tr>
      <w:tr w:rsidR="00474F2A" w:rsidRPr="00E715BC" w14:paraId="41073A6B" w14:textId="77777777" w:rsidTr="002748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EE45522" w14:textId="77777777" w:rsidR="00474F2A" w:rsidRPr="00E715BC" w:rsidRDefault="00474F2A" w:rsidP="002748C7">
            <w:pPr>
              <w:spacing w:line="276" w:lineRule="auto"/>
              <w:rPr>
                <w:rFonts w:cs="Times New Roman"/>
                <w:i w:val="0"/>
                <w:iCs w:val="0"/>
                <w:color w:val="auto"/>
                <w:sz w:val="20"/>
                <w:szCs w:val="20"/>
              </w:rPr>
            </w:pPr>
            <w:r w:rsidRPr="00E715BC">
              <w:rPr>
                <w:rFonts w:cs="Times New Roman"/>
                <w:i w:val="0"/>
                <w:iCs w:val="0"/>
                <w:color w:val="auto"/>
                <w:sz w:val="20"/>
                <w:szCs w:val="20"/>
              </w:rPr>
              <w:t>Interés por realizar Ecoturismo en el municipio de Gámbita</w:t>
            </w:r>
          </w:p>
        </w:tc>
        <w:tc>
          <w:tcPr>
            <w:tcW w:w="1596" w:type="dxa"/>
          </w:tcPr>
          <w:p w14:paraId="18A30518" w14:textId="77777777" w:rsidR="00474F2A" w:rsidRPr="00E715BC" w:rsidRDefault="00474F2A" w:rsidP="002748C7">
            <w:pPr>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color w:val="auto"/>
                <w:sz w:val="20"/>
                <w:szCs w:val="20"/>
              </w:rPr>
            </w:pPr>
            <w:r w:rsidRPr="00E715BC">
              <w:rPr>
                <w:rFonts w:cs="Times New Roman"/>
                <w:color w:val="auto"/>
                <w:sz w:val="20"/>
                <w:szCs w:val="20"/>
              </w:rPr>
              <w:t>88,8%</w:t>
            </w:r>
          </w:p>
        </w:tc>
      </w:tr>
      <w:tr w:rsidR="00474F2A" w:rsidRPr="00E715BC" w14:paraId="18980CA9" w14:textId="77777777" w:rsidTr="002748C7">
        <w:tc>
          <w:tcPr>
            <w:cnfStyle w:val="001000000000" w:firstRow="0" w:lastRow="0" w:firstColumn="1" w:lastColumn="0" w:oddVBand="0" w:evenVBand="0" w:oddHBand="0" w:evenHBand="0" w:firstRowFirstColumn="0" w:firstRowLastColumn="0" w:lastRowFirstColumn="0" w:lastRowLastColumn="0"/>
            <w:tcW w:w="6096" w:type="dxa"/>
          </w:tcPr>
          <w:p w14:paraId="4D58E666" w14:textId="77777777" w:rsidR="00474F2A" w:rsidRPr="00E715BC" w:rsidRDefault="00474F2A" w:rsidP="002748C7">
            <w:pPr>
              <w:spacing w:line="276" w:lineRule="auto"/>
              <w:rPr>
                <w:rFonts w:cs="Times New Roman"/>
                <w:i w:val="0"/>
                <w:iCs w:val="0"/>
                <w:color w:val="auto"/>
                <w:sz w:val="20"/>
                <w:szCs w:val="20"/>
              </w:rPr>
            </w:pPr>
            <w:r w:rsidRPr="00E715BC">
              <w:rPr>
                <w:rFonts w:cs="Times New Roman"/>
                <w:i w:val="0"/>
                <w:iCs w:val="0"/>
                <w:color w:val="auto"/>
                <w:sz w:val="20"/>
                <w:szCs w:val="20"/>
              </w:rPr>
              <w:t xml:space="preserve">Porcentaje de personas que están dispuestas a pagar un valor mayor o igual a $400.000 </w:t>
            </w:r>
          </w:p>
        </w:tc>
        <w:tc>
          <w:tcPr>
            <w:tcW w:w="1596" w:type="dxa"/>
          </w:tcPr>
          <w:p w14:paraId="668BB47D" w14:textId="77777777" w:rsidR="00474F2A" w:rsidRPr="00E715BC" w:rsidRDefault="00474F2A" w:rsidP="002748C7">
            <w:pPr>
              <w:spacing w:line="276" w:lineRule="auto"/>
              <w:jc w:val="center"/>
              <w:cnfStyle w:val="000000000000" w:firstRow="0" w:lastRow="0" w:firstColumn="0" w:lastColumn="0" w:oddVBand="0" w:evenVBand="0" w:oddHBand="0" w:evenHBand="0" w:firstRowFirstColumn="0" w:firstRowLastColumn="0" w:lastRowFirstColumn="0" w:lastRowLastColumn="0"/>
              <w:rPr>
                <w:rFonts w:cs="Times New Roman"/>
                <w:color w:val="auto"/>
                <w:sz w:val="20"/>
                <w:szCs w:val="20"/>
              </w:rPr>
            </w:pPr>
            <w:r w:rsidRPr="00E715BC">
              <w:rPr>
                <w:rFonts w:cs="Times New Roman"/>
                <w:color w:val="auto"/>
                <w:sz w:val="20"/>
                <w:szCs w:val="20"/>
              </w:rPr>
              <w:t>39,2%</w:t>
            </w:r>
          </w:p>
        </w:tc>
      </w:tr>
      <w:tr w:rsidR="00474F2A" w:rsidRPr="00E715BC" w14:paraId="51D43E5E" w14:textId="77777777" w:rsidTr="002748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Borders>
              <w:bottom w:val="single" w:sz="4" w:space="0" w:color="auto"/>
            </w:tcBorders>
          </w:tcPr>
          <w:p w14:paraId="1C2A5C6E" w14:textId="77777777" w:rsidR="00474F2A" w:rsidRPr="00E715BC" w:rsidRDefault="00474F2A" w:rsidP="002748C7">
            <w:pPr>
              <w:spacing w:line="276" w:lineRule="auto"/>
              <w:jc w:val="right"/>
              <w:rPr>
                <w:rFonts w:cs="Times New Roman"/>
                <w:b/>
                <w:bCs/>
                <w:color w:val="auto"/>
                <w:sz w:val="20"/>
                <w:szCs w:val="20"/>
              </w:rPr>
            </w:pPr>
            <w:r w:rsidRPr="00E715BC">
              <w:rPr>
                <w:rFonts w:cs="Times New Roman"/>
                <w:b/>
                <w:bCs/>
                <w:color w:val="auto"/>
                <w:sz w:val="20"/>
                <w:szCs w:val="20"/>
              </w:rPr>
              <w:t xml:space="preserve">TOTAL </w:t>
            </w:r>
          </w:p>
        </w:tc>
        <w:tc>
          <w:tcPr>
            <w:tcW w:w="1596" w:type="dxa"/>
            <w:tcBorders>
              <w:bottom w:val="single" w:sz="4" w:space="0" w:color="auto"/>
            </w:tcBorders>
          </w:tcPr>
          <w:p w14:paraId="2028A1CF" w14:textId="77777777" w:rsidR="00474F2A" w:rsidRPr="00E715BC" w:rsidRDefault="00474F2A" w:rsidP="002748C7">
            <w:pPr>
              <w:spacing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bCs/>
                <w:color w:val="auto"/>
                <w:sz w:val="20"/>
                <w:szCs w:val="20"/>
              </w:rPr>
            </w:pPr>
            <w:r w:rsidRPr="00E715BC">
              <w:rPr>
                <w:rFonts w:cs="Times New Roman"/>
                <w:b/>
                <w:bCs/>
                <w:color w:val="auto"/>
                <w:sz w:val="20"/>
                <w:szCs w:val="20"/>
              </w:rPr>
              <w:t>6145</w:t>
            </w:r>
          </w:p>
        </w:tc>
      </w:tr>
    </w:tbl>
    <w:p w14:paraId="56697084" w14:textId="77777777" w:rsidR="00474F2A" w:rsidRPr="00E715BC" w:rsidRDefault="00474F2A" w:rsidP="00474F2A">
      <w:pPr>
        <w:rPr>
          <w:rFonts w:cs="Times New Roman"/>
        </w:rPr>
      </w:pPr>
    </w:p>
    <w:p w14:paraId="260E6606" w14:textId="77777777" w:rsidR="00474F2A" w:rsidRPr="00E715BC" w:rsidRDefault="00474F2A" w:rsidP="00474F2A">
      <w:pPr>
        <w:ind w:firstLine="720"/>
        <w:rPr>
          <w:rFonts w:cs="Times New Roman"/>
        </w:rPr>
      </w:pPr>
      <w:r w:rsidRPr="00E715BC">
        <w:rPr>
          <w:rFonts w:cs="Times New Roman"/>
        </w:rPr>
        <w:t>Utilizando los datos de la tabla 4 como referencia y con el propósito de crear una proyección de demanda más precisa, se combina este resultado con la participación de mercado prevista para los nuevos competidores, conforme a los porcentajes indicados en la Figura 1.</w:t>
      </w:r>
    </w:p>
    <w:p w14:paraId="116CC781" w14:textId="77777777" w:rsidR="00474F2A" w:rsidRDefault="00474F2A" w:rsidP="00474F2A">
      <w:pPr>
        <w:pStyle w:val="Descripcin"/>
        <w:rPr>
          <w:rFonts w:cs="Times New Roman"/>
          <w:b/>
          <w:bCs/>
          <w:i w:val="0"/>
          <w:iCs w:val="0"/>
          <w:color w:val="auto"/>
          <w:sz w:val="24"/>
          <w:szCs w:val="24"/>
        </w:rPr>
      </w:pPr>
      <w:bookmarkStart w:id="2" w:name="_Toc164348599"/>
      <w:bookmarkStart w:id="3" w:name="_Toc188836881"/>
      <w:r w:rsidRPr="00E715BC">
        <w:rPr>
          <w:rFonts w:cs="Times New Roman"/>
          <w:b/>
          <w:bCs/>
          <w:i w:val="0"/>
          <w:iCs w:val="0"/>
          <w:color w:val="auto"/>
          <w:sz w:val="24"/>
          <w:szCs w:val="24"/>
        </w:rPr>
        <w:t xml:space="preserve">Figura </w:t>
      </w:r>
      <w:r w:rsidRPr="00E715BC">
        <w:rPr>
          <w:rFonts w:cs="Times New Roman"/>
          <w:b/>
          <w:bCs/>
          <w:i w:val="0"/>
          <w:iCs w:val="0"/>
          <w:color w:val="auto"/>
          <w:sz w:val="24"/>
          <w:szCs w:val="24"/>
        </w:rPr>
        <w:fldChar w:fldCharType="begin"/>
      </w:r>
      <w:r w:rsidRPr="00E715BC">
        <w:rPr>
          <w:rFonts w:cs="Times New Roman"/>
          <w:b/>
          <w:bCs/>
          <w:i w:val="0"/>
          <w:iCs w:val="0"/>
          <w:color w:val="auto"/>
          <w:sz w:val="24"/>
          <w:szCs w:val="24"/>
        </w:rPr>
        <w:instrText xml:space="preserve"> SEQ Figura \* ARABIC </w:instrText>
      </w:r>
      <w:r w:rsidRPr="00E715BC">
        <w:rPr>
          <w:rFonts w:cs="Times New Roman"/>
          <w:b/>
          <w:bCs/>
          <w:i w:val="0"/>
          <w:iCs w:val="0"/>
          <w:color w:val="auto"/>
          <w:sz w:val="24"/>
          <w:szCs w:val="24"/>
        </w:rPr>
        <w:fldChar w:fldCharType="separate"/>
      </w:r>
      <w:r w:rsidRPr="00E715BC">
        <w:rPr>
          <w:rFonts w:cs="Times New Roman"/>
          <w:b/>
          <w:bCs/>
          <w:i w:val="0"/>
          <w:iCs w:val="0"/>
          <w:noProof/>
          <w:color w:val="auto"/>
          <w:sz w:val="24"/>
          <w:szCs w:val="24"/>
        </w:rPr>
        <w:t>1</w:t>
      </w:r>
      <w:r w:rsidRPr="00E715BC">
        <w:rPr>
          <w:rFonts w:cs="Times New Roman"/>
          <w:b/>
          <w:bCs/>
          <w:i w:val="0"/>
          <w:iCs w:val="0"/>
          <w:color w:val="auto"/>
          <w:sz w:val="24"/>
          <w:szCs w:val="24"/>
        </w:rPr>
        <w:fldChar w:fldCharType="end"/>
      </w:r>
      <w:r w:rsidRPr="00E715BC">
        <w:rPr>
          <w:rFonts w:cs="Times New Roman"/>
          <w:b/>
          <w:bCs/>
          <w:i w:val="0"/>
          <w:iCs w:val="0"/>
          <w:color w:val="auto"/>
          <w:sz w:val="24"/>
          <w:szCs w:val="24"/>
        </w:rPr>
        <w:t xml:space="preserve">. </w:t>
      </w:r>
    </w:p>
    <w:p w14:paraId="152E52BE" w14:textId="77777777" w:rsidR="00474F2A" w:rsidRPr="00E715BC" w:rsidRDefault="00474F2A" w:rsidP="00474F2A">
      <w:pPr>
        <w:pStyle w:val="Descripcin"/>
        <w:rPr>
          <w:rFonts w:cs="Times New Roman"/>
          <w:color w:val="auto"/>
          <w:sz w:val="24"/>
          <w:szCs w:val="24"/>
        </w:rPr>
      </w:pPr>
      <w:r w:rsidRPr="00E715BC">
        <w:rPr>
          <w:rFonts w:cs="Times New Roman"/>
          <w:color w:val="auto"/>
          <w:sz w:val="24"/>
          <w:szCs w:val="24"/>
        </w:rPr>
        <w:t>Guía para aproximaciones en la participación de mercado</w:t>
      </w:r>
      <w:bookmarkEnd w:id="2"/>
      <w:bookmarkEnd w:id="3"/>
    </w:p>
    <w:p w14:paraId="2D290350" w14:textId="77777777" w:rsidR="00474F2A" w:rsidRPr="00E715BC" w:rsidRDefault="00474F2A" w:rsidP="00474F2A">
      <w:pPr>
        <w:keepNext/>
        <w:spacing w:line="240" w:lineRule="auto"/>
        <w:rPr>
          <w:rFonts w:cs="Times New Roman"/>
        </w:rPr>
      </w:pPr>
      <w:r w:rsidRPr="00E715BC">
        <w:rPr>
          <w:rFonts w:cs="Times New Roman"/>
          <w:noProof/>
        </w:rPr>
        <w:lastRenderedPageBreak/>
        <w:drawing>
          <wp:inline distT="0" distB="0" distL="0" distR="0" wp14:anchorId="5C8A2D83" wp14:editId="3C00DB06">
            <wp:extent cx="2924929" cy="2211820"/>
            <wp:effectExtent l="0" t="0" r="0" b="0"/>
            <wp:docPr id="4753256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325624" name=""/>
                    <pic:cNvPicPr/>
                  </pic:nvPicPr>
                  <pic:blipFill>
                    <a:blip r:embed="rId4"/>
                    <a:stretch>
                      <a:fillRect/>
                    </a:stretch>
                  </pic:blipFill>
                  <pic:spPr>
                    <a:xfrm>
                      <a:off x="0" y="0"/>
                      <a:ext cx="2988145" cy="2259623"/>
                    </a:xfrm>
                    <a:prstGeom prst="rect">
                      <a:avLst/>
                    </a:prstGeom>
                  </pic:spPr>
                </pic:pic>
              </a:graphicData>
            </a:graphic>
          </wp:inline>
        </w:drawing>
      </w:r>
    </w:p>
    <w:p w14:paraId="1970E80F" w14:textId="77777777" w:rsidR="00474F2A" w:rsidRPr="00E715BC" w:rsidRDefault="00474F2A" w:rsidP="00474F2A">
      <w:pPr>
        <w:keepNext/>
        <w:spacing w:line="240" w:lineRule="auto"/>
        <w:rPr>
          <w:rFonts w:cs="Times New Roman"/>
        </w:rPr>
      </w:pPr>
      <w:r w:rsidRPr="00E715BC">
        <w:rPr>
          <w:rFonts w:cs="Times New Roman"/>
          <w:i/>
          <w:iCs/>
        </w:rPr>
        <w:t>Nota</w:t>
      </w:r>
      <w:r w:rsidRPr="00E715BC">
        <w:rPr>
          <w:rFonts w:cs="Times New Roman"/>
        </w:rPr>
        <w:t>: estimaciones de participación en el mercado. Fuente: Imagen tomada de Entrepreneur. (2011). Actualización 2011.</w:t>
      </w:r>
    </w:p>
    <w:p w14:paraId="1B8352AE" w14:textId="77777777" w:rsidR="00474F2A" w:rsidRPr="00E715BC" w:rsidRDefault="00474F2A" w:rsidP="00474F2A">
      <w:pPr>
        <w:ind w:firstLine="720"/>
        <w:rPr>
          <w:rFonts w:cs="Times New Roman"/>
        </w:rPr>
      </w:pPr>
      <w:r w:rsidRPr="00E715BC">
        <w:rPr>
          <w:rFonts w:cs="Times New Roman"/>
        </w:rPr>
        <w:t>Siguiendo un análisis del mercado y considerando el posicionamiento de los servicios sustitutos en el sector de hospedaje, se estima una participación entre el 20% y el 30%. Como resultado de esta evaluación, se propone una combinación de criterios, anticipando la presencia de competidores diversos entre pequeños, algunos y diferentes. Esta combinación busca alcanzar un mercado objetivo estimado de 1229 (6145 x 20%) usuarios anuales para el Ecohotel.</w:t>
      </w:r>
    </w:p>
    <w:p w14:paraId="18079EC7"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El eco-hotel en Gámbita, compuesto por 10 bungalows con capacidad para alojar entre 2 y 4 personas cada uno, ha sido diseñado con una capacidad instalada que permite atender un total de 4,298 turistas anuales. Esta cifra se basa en un análisis de ocupación donde se estima que los fines de semana alcanzarán una ocupación del 75%, mientras que entre semana la ocupación será del 25%. Sin embargo, al contrastar esta capacidad con la demanda potencial en el municipio de Gámbita, surge una discrepancia significativa. Según el flujo de turistas y las preferencias manifestadas, se estima que un total de 16,170 turistas estarían interesados en hospedarse en un eco-hotel en la región cada año. Esta demanda potencial incluye un 97.8% de los visitantes que reservarían al menos una vez al año, un 95.1% con interés específico en alojarse en un eco-hotel, y un 88.8% de ellos interesados en realizar ecoturismo en Gámbita. Además, un 39.2% de </w:t>
      </w:r>
      <w:r w:rsidRPr="00E715BC">
        <w:rPr>
          <w:rFonts w:eastAsia="Times New Roman" w:cs="Times New Roman"/>
          <w:kern w:val="0"/>
          <w:szCs w:val="24"/>
          <w:lang w:eastAsia="es-ES_tradnl"/>
          <w14:ligatures w14:val="none"/>
        </w:rPr>
        <w:lastRenderedPageBreak/>
        <w:t>estos turistas están dispuestos a pagar una tarifa de al menos $400,000, lo que subraya no solo el interés, sino también la disposición económica de los visitantes ver la tabla 5 estimación de la semana basada en capacidad instalada.</w:t>
      </w:r>
    </w:p>
    <w:p w14:paraId="7762E94B"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Según el DANE y el Ministerio de Comercio, Industria y Turismo , la ocupación hotelera en Colombia alcanzó un promedio del 53,9% en 2023</w:t>
      </w:r>
      <w:sdt>
        <w:sdtPr>
          <w:rPr>
            <w:rFonts w:eastAsia="Times New Roman" w:cs="Times New Roman"/>
            <w:kern w:val="0"/>
            <w:szCs w:val="24"/>
            <w:lang w:eastAsia="es-ES_tradnl"/>
            <w14:ligatures w14:val="none"/>
          </w:rPr>
          <w:id w:val="-1934048432"/>
          <w:citation/>
        </w:sdtPr>
        <w:sdtEndPr/>
        <w:sdtContent>
          <w:r w:rsidRPr="00E715BC">
            <w:rPr>
              <w:rFonts w:eastAsia="Times New Roman" w:cs="Times New Roman"/>
              <w:kern w:val="0"/>
              <w:szCs w:val="24"/>
              <w:lang w:eastAsia="es-ES_tradnl"/>
              <w14:ligatures w14:val="none"/>
            </w:rPr>
            <w:fldChar w:fldCharType="begin"/>
          </w:r>
          <w:r w:rsidRPr="00E715BC">
            <w:rPr>
              <w:rFonts w:eastAsia="Times New Roman" w:cs="Times New Roman"/>
              <w:kern w:val="0"/>
              <w:szCs w:val="24"/>
              <w:lang w:val="es-ES" w:eastAsia="es-ES_tradnl"/>
              <w14:ligatures w14:val="none"/>
            </w:rPr>
            <w:instrText xml:space="preserve"> CITATION Mar211 \l 3082 </w:instrText>
          </w:r>
          <w:r w:rsidRPr="00E715BC">
            <w:rPr>
              <w:rFonts w:eastAsia="Times New Roman" w:cs="Times New Roman"/>
              <w:kern w:val="0"/>
              <w:szCs w:val="24"/>
              <w:lang w:eastAsia="es-ES_tradnl"/>
              <w14:ligatures w14:val="none"/>
            </w:rPr>
            <w:fldChar w:fldCharType="separate"/>
          </w:r>
          <w:r w:rsidRPr="00E715BC">
            <w:rPr>
              <w:rFonts w:eastAsia="Times New Roman" w:cs="Times New Roman"/>
              <w:noProof/>
              <w:kern w:val="0"/>
              <w:szCs w:val="24"/>
              <w:lang w:val="es-ES" w:eastAsia="es-ES_tradnl"/>
              <w14:ligatures w14:val="none"/>
            </w:rPr>
            <w:t xml:space="preserve"> (Marco Nacional de Cualificaciones., 2021)</w:t>
          </w:r>
          <w:r w:rsidRPr="00E715BC">
            <w:rPr>
              <w:rFonts w:eastAsia="Times New Roman" w:cs="Times New Roman"/>
              <w:kern w:val="0"/>
              <w:szCs w:val="24"/>
              <w:lang w:eastAsia="es-ES_tradnl"/>
              <w14:ligatures w14:val="none"/>
            </w:rPr>
            <w:fldChar w:fldCharType="end"/>
          </w:r>
        </w:sdtContent>
      </w:sdt>
      <w:r w:rsidRPr="00E715BC">
        <w:rPr>
          <w:rFonts w:eastAsia="Times New Roman" w:cs="Times New Roman"/>
          <w:kern w:val="0"/>
          <w:szCs w:val="24"/>
          <w:lang w:eastAsia="es-ES_tradnl"/>
          <w14:ligatures w14:val="none"/>
        </w:rPr>
        <w:t xml:space="preserve"> , con variaciones significativas según la región y la temporada. En los destinos turísticos rurales como Gámbita, estos indicadores tienden a ser más altos en alta temporada, superando el 80% de ocupación en meses como diciembre, enero, junio y julio. Durante estos periodos, la demanda se ve impulsada por las vacaciones escolares y las festividades, lo que coincide con un aumento del gasto turístico. Por otro lado, la baja temporada registra niveles de ocupación entre el 20% y el 60%, debido a la menor disposición de viajeros para realizar desplazamientos</w:t>
      </w:r>
      <w:sdt>
        <w:sdtPr>
          <w:rPr>
            <w:rFonts w:eastAsia="Times New Roman" w:cs="Times New Roman"/>
            <w:kern w:val="0"/>
            <w:szCs w:val="24"/>
            <w:lang w:eastAsia="es-ES_tradnl"/>
            <w14:ligatures w14:val="none"/>
          </w:rPr>
          <w:id w:val="1015649077"/>
          <w:citation/>
        </w:sdtPr>
        <w:sdtEndPr/>
        <w:sdtContent>
          <w:r w:rsidRPr="00E715BC">
            <w:rPr>
              <w:rFonts w:eastAsia="Times New Roman" w:cs="Times New Roman"/>
              <w:kern w:val="0"/>
              <w:szCs w:val="24"/>
              <w:lang w:eastAsia="es-ES_tradnl"/>
              <w14:ligatures w14:val="none"/>
            </w:rPr>
            <w:fldChar w:fldCharType="begin"/>
          </w:r>
          <w:r w:rsidRPr="00E715BC">
            <w:rPr>
              <w:rFonts w:eastAsia="Times New Roman" w:cs="Times New Roman"/>
              <w:kern w:val="0"/>
              <w:szCs w:val="24"/>
              <w:lang w:val="es-ES" w:eastAsia="es-ES_tradnl"/>
              <w14:ligatures w14:val="none"/>
            </w:rPr>
            <w:instrText xml:space="preserve"> CITATION DAN24 \l 3082 </w:instrText>
          </w:r>
          <w:r w:rsidRPr="00E715BC">
            <w:rPr>
              <w:rFonts w:eastAsia="Times New Roman" w:cs="Times New Roman"/>
              <w:kern w:val="0"/>
              <w:szCs w:val="24"/>
              <w:lang w:eastAsia="es-ES_tradnl"/>
              <w14:ligatures w14:val="none"/>
            </w:rPr>
            <w:fldChar w:fldCharType="separate"/>
          </w:r>
          <w:r w:rsidRPr="00E715BC">
            <w:rPr>
              <w:rFonts w:eastAsia="Times New Roman" w:cs="Times New Roman"/>
              <w:noProof/>
              <w:kern w:val="0"/>
              <w:szCs w:val="24"/>
              <w:lang w:val="es-ES" w:eastAsia="es-ES_tradnl"/>
              <w14:ligatures w14:val="none"/>
            </w:rPr>
            <w:t xml:space="preserve"> (DANE, 2024)</w:t>
          </w:r>
          <w:r w:rsidRPr="00E715BC">
            <w:rPr>
              <w:rFonts w:eastAsia="Times New Roman" w:cs="Times New Roman"/>
              <w:kern w:val="0"/>
              <w:szCs w:val="24"/>
              <w:lang w:eastAsia="es-ES_tradnl"/>
              <w14:ligatures w14:val="none"/>
            </w:rPr>
            <w:fldChar w:fldCharType="end"/>
          </w:r>
        </w:sdtContent>
      </w:sdt>
      <w:r w:rsidRPr="00E715BC">
        <w:rPr>
          <w:rFonts w:eastAsia="Times New Roman" w:cs="Times New Roman"/>
          <w:kern w:val="0"/>
          <w:szCs w:val="24"/>
          <w:lang w:eastAsia="es-ES_tradnl"/>
          <w14:ligatures w14:val="none"/>
        </w:rPr>
        <w:t xml:space="preserve">. Estos indicadores evidencian la necesidad de adaptar la oferta hotelera y diseñar estrategias que permitan equilibrar la demanda durante el año. </w:t>
      </w:r>
    </w:p>
    <w:p w14:paraId="289CDA82" w14:textId="77777777" w:rsidR="00474F2A" w:rsidRDefault="00474F2A" w:rsidP="00474F2A">
      <w:pPr>
        <w:pStyle w:val="Descripcin"/>
        <w:keepNext/>
        <w:rPr>
          <w:rFonts w:cs="Times New Roman"/>
          <w:b/>
          <w:bCs/>
          <w:i w:val="0"/>
          <w:iCs w:val="0"/>
          <w:color w:val="auto"/>
          <w:sz w:val="24"/>
          <w:szCs w:val="24"/>
        </w:rPr>
      </w:pPr>
      <w:bookmarkStart w:id="4" w:name="_Toc188876756"/>
      <w:bookmarkStart w:id="5" w:name="_Toc164502344"/>
      <w:r w:rsidRPr="00E715BC">
        <w:rPr>
          <w:rFonts w:cs="Times New Roman"/>
          <w:b/>
          <w:bCs/>
          <w:i w:val="0"/>
          <w:iCs w:val="0"/>
          <w:color w:val="auto"/>
          <w:sz w:val="24"/>
          <w:szCs w:val="24"/>
        </w:rPr>
        <w:t xml:space="preserve">Tabla </w:t>
      </w:r>
      <w:r w:rsidRPr="00E715BC">
        <w:rPr>
          <w:rFonts w:cs="Times New Roman"/>
          <w:b/>
          <w:bCs/>
          <w:i w:val="0"/>
          <w:iCs w:val="0"/>
          <w:color w:val="auto"/>
          <w:sz w:val="24"/>
          <w:szCs w:val="24"/>
        </w:rPr>
        <w:fldChar w:fldCharType="begin"/>
      </w:r>
      <w:r w:rsidRPr="00E715BC">
        <w:rPr>
          <w:rFonts w:cs="Times New Roman"/>
          <w:b/>
          <w:bCs/>
          <w:i w:val="0"/>
          <w:iCs w:val="0"/>
          <w:color w:val="auto"/>
          <w:sz w:val="24"/>
          <w:szCs w:val="24"/>
        </w:rPr>
        <w:instrText xml:space="preserve"> SEQ Tabla \* ARABIC </w:instrText>
      </w:r>
      <w:r w:rsidRPr="00E715BC">
        <w:rPr>
          <w:rFonts w:cs="Times New Roman"/>
          <w:b/>
          <w:bCs/>
          <w:i w:val="0"/>
          <w:iCs w:val="0"/>
          <w:color w:val="auto"/>
          <w:sz w:val="24"/>
          <w:szCs w:val="24"/>
        </w:rPr>
        <w:fldChar w:fldCharType="separate"/>
      </w:r>
      <w:r>
        <w:rPr>
          <w:rFonts w:cs="Times New Roman"/>
          <w:b/>
          <w:bCs/>
          <w:i w:val="0"/>
          <w:iCs w:val="0"/>
          <w:noProof/>
          <w:color w:val="auto"/>
          <w:sz w:val="24"/>
          <w:szCs w:val="24"/>
        </w:rPr>
        <w:t>5</w:t>
      </w:r>
      <w:r w:rsidRPr="00E715BC">
        <w:rPr>
          <w:rFonts w:cs="Times New Roman"/>
          <w:b/>
          <w:bCs/>
          <w:i w:val="0"/>
          <w:iCs w:val="0"/>
          <w:color w:val="auto"/>
          <w:sz w:val="24"/>
          <w:szCs w:val="24"/>
        </w:rPr>
        <w:fldChar w:fldCharType="end"/>
      </w:r>
      <w:r w:rsidRPr="00E715BC">
        <w:rPr>
          <w:rFonts w:cs="Times New Roman"/>
          <w:b/>
          <w:bCs/>
          <w:i w:val="0"/>
          <w:iCs w:val="0"/>
          <w:color w:val="auto"/>
          <w:sz w:val="24"/>
          <w:szCs w:val="24"/>
        </w:rPr>
        <w:t>.</w:t>
      </w:r>
      <w:bookmarkEnd w:id="4"/>
      <w:r w:rsidRPr="00E715BC">
        <w:rPr>
          <w:rFonts w:cs="Times New Roman"/>
          <w:b/>
          <w:bCs/>
          <w:i w:val="0"/>
          <w:iCs w:val="0"/>
          <w:color w:val="auto"/>
          <w:sz w:val="24"/>
          <w:szCs w:val="24"/>
        </w:rPr>
        <w:t xml:space="preserve"> </w:t>
      </w:r>
    </w:p>
    <w:p w14:paraId="2477753C" w14:textId="77777777" w:rsidR="00474F2A" w:rsidRPr="00E715BC" w:rsidRDefault="00474F2A" w:rsidP="00474F2A">
      <w:pPr>
        <w:pStyle w:val="Descripcin"/>
        <w:keepNext/>
        <w:rPr>
          <w:rFonts w:eastAsia="Times New Roman" w:cs="Times New Roman"/>
          <w:i w:val="0"/>
          <w:iCs w:val="0"/>
          <w:color w:val="auto"/>
          <w:kern w:val="0"/>
          <w:szCs w:val="24"/>
          <w:lang w:eastAsia="es-ES_tradnl"/>
          <w14:ligatures w14:val="none"/>
        </w:rPr>
      </w:pPr>
      <w:r w:rsidRPr="00E715BC">
        <w:rPr>
          <w:rFonts w:eastAsia="Times New Roman" w:cs="Times New Roman"/>
          <w:color w:val="auto"/>
          <w:kern w:val="0"/>
          <w:sz w:val="24"/>
          <w:szCs w:val="24"/>
          <w:lang w:eastAsia="es-ES_tradnl"/>
          <w14:ligatures w14:val="none"/>
        </w:rPr>
        <w:t>Estimación de demanda en base a la capacidad instalada.</w:t>
      </w:r>
      <w:bookmarkEnd w:id="5"/>
    </w:p>
    <w:tbl>
      <w:tblPr>
        <w:tblW w:w="0" w:type="auto"/>
        <w:tblLook w:val="04A0" w:firstRow="1" w:lastRow="0" w:firstColumn="1" w:lastColumn="0" w:noHBand="0" w:noVBand="1"/>
      </w:tblPr>
      <w:tblGrid>
        <w:gridCol w:w="1558"/>
        <w:gridCol w:w="1558"/>
        <w:gridCol w:w="1559"/>
      </w:tblGrid>
      <w:tr w:rsidR="00474F2A" w:rsidRPr="00E715BC" w14:paraId="565930C1" w14:textId="77777777" w:rsidTr="002748C7">
        <w:tc>
          <w:tcPr>
            <w:tcW w:w="1558" w:type="dxa"/>
            <w:tcBorders>
              <w:top w:val="single" w:sz="4" w:space="0" w:color="auto"/>
            </w:tcBorders>
          </w:tcPr>
          <w:p w14:paraId="15D947A1" w14:textId="77777777" w:rsidR="00474F2A" w:rsidRPr="00E715BC" w:rsidRDefault="00474F2A" w:rsidP="002748C7">
            <w:pPr>
              <w:spacing w:line="240" w:lineRule="auto"/>
              <w:jc w:val="center"/>
              <w:rPr>
                <w:rFonts w:cs="Times New Roman"/>
                <w:b/>
                <w:bCs/>
                <w:i/>
                <w:iCs/>
                <w:sz w:val="20"/>
                <w:szCs w:val="20"/>
              </w:rPr>
            </w:pPr>
            <w:r w:rsidRPr="00E715BC">
              <w:rPr>
                <w:rFonts w:cs="Times New Roman"/>
                <w:b/>
                <w:bCs/>
                <w:sz w:val="20"/>
                <w:szCs w:val="20"/>
              </w:rPr>
              <w:t>Estructura</w:t>
            </w:r>
          </w:p>
        </w:tc>
        <w:tc>
          <w:tcPr>
            <w:tcW w:w="1558" w:type="dxa"/>
            <w:tcBorders>
              <w:top w:val="single" w:sz="4" w:space="0" w:color="auto"/>
            </w:tcBorders>
          </w:tcPr>
          <w:p w14:paraId="4B9DB43E" w14:textId="77777777" w:rsidR="00474F2A" w:rsidRPr="00E715BC" w:rsidRDefault="00474F2A" w:rsidP="002748C7">
            <w:pPr>
              <w:spacing w:line="240" w:lineRule="auto"/>
              <w:jc w:val="center"/>
              <w:rPr>
                <w:rFonts w:cs="Times New Roman"/>
                <w:b/>
                <w:bCs/>
                <w:i/>
                <w:iCs/>
                <w:sz w:val="20"/>
                <w:szCs w:val="20"/>
              </w:rPr>
            </w:pPr>
            <w:r w:rsidRPr="00E715BC">
              <w:rPr>
                <w:rFonts w:cs="Times New Roman"/>
                <w:b/>
                <w:bCs/>
                <w:sz w:val="20"/>
                <w:szCs w:val="20"/>
              </w:rPr>
              <w:t>Unidades</w:t>
            </w:r>
          </w:p>
        </w:tc>
        <w:tc>
          <w:tcPr>
            <w:tcW w:w="1559" w:type="dxa"/>
            <w:tcBorders>
              <w:top w:val="single" w:sz="4" w:space="0" w:color="auto"/>
            </w:tcBorders>
          </w:tcPr>
          <w:p w14:paraId="7C1896AC" w14:textId="77777777" w:rsidR="00474F2A" w:rsidRPr="00E715BC" w:rsidRDefault="00474F2A" w:rsidP="002748C7">
            <w:pPr>
              <w:spacing w:line="240" w:lineRule="auto"/>
              <w:jc w:val="center"/>
              <w:rPr>
                <w:rFonts w:cs="Times New Roman"/>
                <w:b/>
                <w:bCs/>
                <w:i/>
                <w:iCs/>
                <w:sz w:val="20"/>
                <w:szCs w:val="20"/>
              </w:rPr>
            </w:pPr>
            <w:r w:rsidRPr="00E715BC">
              <w:rPr>
                <w:rFonts w:cs="Times New Roman"/>
                <w:b/>
                <w:bCs/>
                <w:sz w:val="20"/>
                <w:szCs w:val="20"/>
              </w:rPr>
              <w:t>Total anual</w:t>
            </w:r>
          </w:p>
        </w:tc>
      </w:tr>
      <w:tr w:rsidR="00474F2A" w:rsidRPr="00E715BC" w14:paraId="1804BA70" w14:textId="77777777" w:rsidTr="002748C7">
        <w:trPr>
          <w:trHeight w:val="153"/>
        </w:trPr>
        <w:tc>
          <w:tcPr>
            <w:tcW w:w="1558" w:type="dxa"/>
            <w:tcBorders>
              <w:top w:val="single" w:sz="4" w:space="0" w:color="7F7F7F" w:themeColor="text1" w:themeTint="80"/>
              <w:bottom w:val="single" w:sz="4" w:space="0" w:color="auto"/>
            </w:tcBorders>
          </w:tcPr>
          <w:p w14:paraId="36B04816" w14:textId="77777777" w:rsidR="00474F2A" w:rsidRPr="00E715BC" w:rsidRDefault="00474F2A" w:rsidP="002748C7">
            <w:pPr>
              <w:spacing w:line="240" w:lineRule="auto"/>
              <w:rPr>
                <w:rFonts w:cs="Times New Roman"/>
                <w:b/>
                <w:bCs/>
                <w:i/>
                <w:iCs/>
                <w:sz w:val="20"/>
                <w:szCs w:val="20"/>
              </w:rPr>
            </w:pPr>
            <w:r w:rsidRPr="00E715BC">
              <w:rPr>
                <w:rFonts w:cs="Times New Roman"/>
                <w:b/>
                <w:bCs/>
                <w:sz w:val="20"/>
                <w:szCs w:val="20"/>
              </w:rPr>
              <w:t xml:space="preserve">Bungalows </w:t>
            </w:r>
          </w:p>
        </w:tc>
        <w:tc>
          <w:tcPr>
            <w:tcW w:w="1558" w:type="dxa"/>
            <w:tcBorders>
              <w:top w:val="single" w:sz="4" w:space="0" w:color="7F7F7F" w:themeColor="text1" w:themeTint="80"/>
              <w:bottom w:val="single" w:sz="4" w:space="0" w:color="auto"/>
            </w:tcBorders>
          </w:tcPr>
          <w:p w14:paraId="23CA4405" w14:textId="77777777" w:rsidR="00474F2A" w:rsidRPr="00E715BC" w:rsidRDefault="00474F2A" w:rsidP="002748C7">
            <w:pPr>
              <w:spacing w:line="240" w:lineRule="auto"/>
              <w:jc w:val="center"/>
              <w:rPr>
                <w:rFonts w:cs="Times New Roman"/>
                <w:sz w:val="20"/>
                <w:szCs w:val="20"/>
              </w:rPr>
            </w:pPr>
            <w:r w:rsidRPr="00E715BC">
              <w:rPr>
                <w:rFonts w:cs="Times New Roman"/>
                <w:sz w:val="20"/>
                <w:szCs w:val="20"/>
              </w:rPr>
              <w:t>10</w:t>
            </w:r>
          </w:p>
        </w:tc>
        <w:tc>
          <w:tcPr>
            <w:tcW w:w="1559" w:type="dxa"/>
            <w:tcBorders>
              <w:top w:val="single" w:sz="4" w:space="0" w:color="7F7F7F" w:themeColor="text1" w:themeTint="80"/>
              <w:bottom w:val="single" w:sz="4" w:space="0" w:color="auto"/>
            </w:tcBorders>
          </w:tcPr>
          <w:p w14:paraId="21A026FF" w14:textId="77777777" w:rsidR="00474F2A" w:rsidRPr="00E715BC" w:rsidRDefault="00474F2A" w:rsidP="002748C7">
            <w:pPr>
              <w:spacing w:line="240" w:lineRule="auto"/>
              <w:jc w:val="center"/>
              <w:rPr>
                <w:rFonts w:cs="Times New Roman"/>
                <w:sz w:val="20"/>
                <w:szCs w:val="20"/>
              </w:rPr>
            </w:pPr>
            <w:r w:rsidRPr="00E715BC">
              <w:rPr>
                <w:rFonts w:cs="Times New Roman"/>
                <w:sz w:val="20"/>
                <w:szCs w:val="20"/>
              </w:rPr>
              <w:t>1548</w:t>
            </w:r>
          </w:p>
        </w:tc>
      </w:tr>
    </w:tbl>
    <w:p w14:paraId="08711E34" w14:textId="77777777" w:rsidR="00474F2A" w:rsidRPr="00E715BC" w:rsidRDefault="00474F2A" w:rsidP="00474F2A">
      <w:pPr>
        <w:pStyle w:val="Descripcin"/>
        <w:rPr>
          <w:rFonts w:eastAsia="Times New Roman" w:cs="Times New Roman"/>
          <w:i w:val="0"/>
          <w:iCs w:val="0"/>
          <w:color w:val="auto"/>
          <w:kern w:val="0"/>
          <w:sz w:val="20"/>
          <w:szCs w:val="20"/>
          <w:lang w:eastAsia="es-ES_tradnl"/>
          <w14:ligatures w14:val="none"/>
        </w:rPr>
      </w:pPr>
      <w:r w:rsidRPr="00E715BC">
        <w:rPr>
          <w:rFonts w:eastAsia="Times New Roman" w:cs="Times New Roman"/>
          <w:color w:val="auto"/>
          <w:kern w:val="0"/>
          <w:sz w:val="20"/>
          <w:szCs w:val="20"/>
          <w:lang w:eastAsia="es-ES_tradnl"/>
          <w14:ligatures w14:val="none"/>
        </w:rPr>
        <w:t>Nota:</w:t>
      </w:r>
      <w:r w:rsidRPr="00E715BC">
        <w:rPr>
          <w:rFonts w:eastAsia="Times New Roman" w:cs="Times New Roman"/>
          <w:i w:val="0"/>
          <w:iCs w:val="0"/>
          <w:color w:val="auto"/>
          <w:kern w:val="0"/>
          <w:sz w:val="20"/>
          <w:szCs w:val="20"/>
          <w:lang w:eastAsia="es-ES_tradnl"/>
          <w14:ligatures w14:val="none"/>
        </w:rPr>
        <w:t xml:space="preserve"> Cálculo de la demanda anual teniendo presente 10 cabañas tipo bungalows. Fuente: Autor. </w:t>
      </w:r>
    </w:p>
    <w:p w14:paraId="76A05740" w14:textId="77777777" w:rsidR="00474F2A" w:rsidRPr="00E715BC" w:rsidRDefault="00474F2A" w:rsidP="00474F2A">
      <w:pPr>
        <w:ind w:firstLine="720"/>
        <w:rPr>
          <w:rFonts w:cs="Times New Roman"/>
        </w:rPr>
      </w:pPr>
      <w:r w:rsidRPr="00E715BC">
        <w:rPr>
          <w:rFonts w:cs="Times New Roman"/>
        </w:rPr>
        <w:t xml:space="preserve">Temporada baja, la ocupación para los fines de semana se calcula con base en el 60% de ocupación y en promedio tenemos 8,6 días. </w:t>
      </w:r>
    </w:p>
    <w:p w14:paraId="00403275" w14:textId="77777777" w:rsidR="00474F2A" w:rsidRPr="00E715BC" w:rsidRDefault="00474F2A" w:rsidP="00474F2A">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Demanda fin de semana = 10 × 8.67 días × 60% =  65 servicios por mes</w:t>
      </w:r>
    </w:p>
    <w:p w14:paraId="39DC5DE3" w14:textId="77777777" w:rsidR="00474F2A" w:rsidRPr="00E715BC" w:rsidRDefault="00474F2A" w:rsidP="00474F2A">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 ocupación entre semana se calcula con base en el 25% de ocupación y 21,75 días al mes.</w:t>
      </w:r>
    </w:p>
    <w:p w14:paraId="560AADD3"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Demanda de la semana = 10 * 21,75 días *25% = 54 Servicios por mes</w:t>
      </w:r>
    </w:p>
    <w:p w14:paraId="72BB5024"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lastRenderedPageBreak/>
        <w:t xml:space="preserve">Este análisis permite entender cuántos servicios se pueden generar </w:t>
      </w:r>
      <w:r w:rsidRPr="00E715BC">
        <w:rPr>
          <w:rFonts w:eastAsia="Times New Roman" w:cs="Times New Roman"/>
          <w:b/>
          <w:bCs/>
          <w:kern w:val="0"/>
          <w:szCs w:val="24"/>
          <w:lang w:eastAsia="es-ES_tradnl"/>
          <w14:ligatures w14:val="none"/>
        </w:rPr>
        <w:t>mensualmente</w:t>
      </w:r>
      <w:r w:rsidRPr="00E715BC">
        <w:rPr>
          <w:rFonts w:eastAsia="Times New Roman" w:cs="Times New Roman"/>
          <w:kern w:val="0"/>
          <w:szCs w:val="24"/>
          <w:lang w:eastAsia="es-ES_tradnl"/>
          <w14:ligatures w14:val="none"/>
        </w:rPr>
        <w:t xml:space="preserve"> 109 servicios, con base en las tasas de ocupación establecidas y el número promedio de días en un mes, ahora teniendo en cuenta que las temporadas incrementados un porcentaje los meses de temporada alta.</w:t>
      </w:r>
    </w:p>
    <w:p w14:paraId="16FE62C7" w14:textId="77777777" w:rsidR="00474F2A" w:rsidRPr="00E715BC" w:rsidRDefault="00474F2A" w:rsidP="00474F2A">
      <w:pPr>
        <w:ind w:firstLine="720"/>
        <w:rPr>
          <w:rFonts w:cs="Times New Roman"/>
        </w:rPr>
      </w:pPr>
      <w:r w:rsidRPr="00E715BC">
        <w:rPr>
          <w:rFonts w:cs="Times New Roman"/>
        </w:rPr>
        <w:t xml:space="preserve">Temporada alta, la ocupación para los fines de semana se calcula con base en el 80% de ocupación y en promedio tenemos 8,6 días. </w:t>
      </w:r>
    </w:p>
    <w:p w14:paraId="38201CC6" w14:textId="77777777" w:rsidR="00474F2A" w:rsidRPr="00E715BC" w:rsidRDefault="00474F2A" w:rsidP="00474F2A">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Demanda fin de semana = 10 × 8.67 días × 80% =  70 servicios por mes</w:t>
      </w:r>
    </w:p>
    <w:p w14:paraId="42FC9F69" w14:textId="77777777" w:rsidR="00474F2A" w:rsidRPr="00E715BC" w:rsidRDefault="00474F2A" w:rsidP="00474F2A">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La ocupación entre semana se calcula con base en el 40% de ocupación y 21,75 días al mes.</w:t>
      </w:r>
    </w:p>
    <w:p w14:paraId="707C63EC"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Demanda de la semana = 10 * 21,75 días *40% = 87 Servicios por mes</w:t>
      </w:r>
    </w:p>
    <w:p w14:paraId="6F123A56" w14:textId="77777777" w:rsidR="00474F2A" w:rsidRPr="00E715BC" w:rsidRDefault="00474F2A" w:rsidP="00474F2A">
      <w:pPr>
        <w:ind w:firstLine="964"/>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Este análisis permite entender cuántos servicios en temporada alta se pueden generar mensualmente 157 servicios, con base en las tasas de ocupación establecidas y el número promedio de días en un mes, ahora teniendo en cuenta que las temporadas incrementados un porcentaje los meses de temporada alta.</w:t>
      </w:r>
    </w:p>
    <w:p w14:paraId="2954DAC6" w14:textId="77777777" w:rsidR="00474F2A" w:rsidRDefault="00474F2A" w:rsidP="00474F2A">
      <w:pPr>
        <w:pStyle w:val="Descripcin"/>
        <w:rPr>
          <w:rFonts w:eastAsia="Times New Roman" w:cs="Times New Roman"/>
          <w:b/>
          <w:bCs/>
          <w:i w:val="0"/>
          <w:iCs w:val="0"/>
          <w:color w:val="auto"/>
          <w:kern w:val="0"/>
          <w:sz w:val="24"/>
          <w:szCs w:val="24"/>
          <w:lang w:eastAsia="es-ES_tradnl"/>
          <w14:ligatures w14:val="none"/>
        </w:rPr>
      </w:pPr>
      <w:bookmarkStart w:id="6" w:name="_Toc188876757"/>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Pr>
          <w:rFonts w:eastAsia="Times New Roman" w:cs="Times New Roman"/>
          <w:b/>
          <w:bCs/>
          <w:i w:val="0"/>
          <w:iCs w:val="0"/>
          <w:noProof/>
          <w:color w:val="auto"/>
          <w:kern w:val="0"/>
          <w:sz w:val="24"/>
          <w:szCs w:val="24"/>
          <w:lang w:eastAsia="es-ES_tradnl"/>
          <w14:ligatures w14:val="none"/>
        </w:rPr>
        <w:t>6</w:t>
      </w:r>
      <w:r w:rsidRPr="00E715BC">
        <w:rPr>
          <w:rFonts w:eastAsia="Times New Roman" w:cs="Times New Roman"/>
          <w:b/>
          <w:bCs/>
          <w:i w:val="0"/>
          <w:iCs w:val="0"/>
          <w:color w:val="auto"/>
          <w:kern w:val="0"/>
          <w:sz w:val="24"/>
          <w:szCs w:val="24"/>
          <w:lang w:eastAsia="es-ES_tradnl"/>
          <w14:ligatures w14:val="none"/>
        </w:rPr>
        <w:fldChar w:fldCharType="end"/>
      </w:r>
      <w:r w:rsidRPr="00E715BC">
        <w:rPr>
          <w:rFonts w:eastAsia="Times New Roman" w:cs="Times New Roman"/>
          <w:b/>
          <w:bCs/>
          <w:i w:val="0"/>
          <w:iCs w:val="0"/>
          <w:color w:val="auto"/>
          <w:kern w:val="0"/>
          <w:sz w:val="24"/>
          <w:szCs w:val="24"/>
          <w:lang w:eastAsia="es-ES_tradnl"/>
          <w14:ligatures w14:val="none"/>
        </w:rPr>
        <w:t>.</w:t>
      </w:r>
      <w:bookmarkEnd w:id="6"/>
      <w:r w:rsidRPr="00E715BC">
        <w:rPr>
          <w:rFonts w:eastAsia="Times New Roman" w:cs="Times New Roman"/>
          <w:b/>
          <w:bCs/>
          <w:i w:val="0"/>
          <w:iCs w:val="0"/>
          <w:color w:val="auto"/>
          <w:kern w:val="0"/>
          <w:sz w:val="24"/>
          <w:szCs w:val="24"/>
          <w:lang w:eastAsia="es-ES_tradnl"/>
          <w14:ligatures w14:val="none"/>
        </w:rPr>
        <w:t xml:space="preserve"> </w:t>
      </w:r>
    </w:p>
    <w:p w14:paraId="37599634" w14:textId="77777777" w:rsidR="00474F2A" w:rsidRPr="00E715BC" w:rsidRDefault="00474F2A" w:rsidP="00474F2A">
      <w:pPr>
        <w:pStyle w:val="Descripcin"/>
        <w:rPr>
          <w:rFonts w:eastAsia="Times New Roman" w:cs="Times New Roman"/>
          <w:b/>
          <w:bCs/>
          <w:i w:val="0"/>
          <w:iCs w:val="0"/>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Estimación Demanda mensual.</w:t>
      </w:r>
      <w:r w:rsidRPr="00E715BC">
        <w:rPr>
          <w:rFonts w:eastAsia="Times New Roman" w:cs="Times New Roman"/>
          <w:color w:val="auto"/>
          <w:kern w:val="0"/>
          <w:szCs w:val="24"/>
          <w:lang w:eastAsia="es-ES_tradnl"/>
          <w14:ligatures w14:val="none"/>
        </w:rPr>
        <w:t xml:space="preserve"> </w:t>
      </w:r>
    </w:p>
    <w:tbl>
      <w:tblPr>
        <w:tblW w:w="7230"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523"/>
        <w:gridCol w:w="638"/>
        <w:gridCol w:w="558"/>
        <w:gridCol w:w="478"/>
        <w:gridCol w:w="514"/>
        <w:gridCol w:w="487"/>
        <w:gridCol w:w="452"/>
        <w:gridCol w:w="603"/>
        <w:gridCol w:w="869"/>
        <w:gridCol w:w="656"/>
        <w:gridCol w:w="860"/>
        <w:gridCol w:w="816"/>
      </w:tblGrid>
      <w:tr w:rsidR="00474F2A" w:rsidRPr="00E715BC" w14:paraId="1DAF231C" w14:textId="77777777" w:rsidTr="002748C7">
        <w:trPr>
          <w:trHeight w:val="320"/>
        </w:trPr>
        <w:tc>
          <w:tcPr>
            <w:tcW w:w="523" w:type="dxa"/>
            <w:tcBorders>
              <w:top w:val="single" w:sz="4" w:space="0" w:color="auto"/>
              <w:bottom w:val="single" w:sz="4" w:space="0" w:color="auto"/>
            </w:tcBorders>
            <w:shd w:val="clear" w:color="000000" w:fill="70AD47"/>
            <w:noWrap/>
            <w:vAlign w:val="center"/>
            <w:hideMark/>
          </w:tcPr>
          <w:p w14:paraId="02E40C2E" w14:textId="77777777" w:rsidR="00474F2A" w:rsidRPr="00E715BC" w:rsidRDefault="00474F2A" w:rsidP="002748C7">
            <w:pPr>
              <w:jc w:val="center"/>
              <w:rPr>
                <w:rFonts w:cs="Times New Roman"/>
                <w:sz w:val="16"/>
                <w:szCs w:val="15"/>
              </w:rPr>
            </w:pPr>
            <w:r w:rsidRPr="00E715BC">
              <w:rPr>
                <w:rFonts w:cs="Times New Roman"/>
                <w:sz w:val="16"/>
                <w:szCs w:val="15"/>
              </w:rPr>
              <w:t>Enero</w:t>
            </w:r>
          </w:p>
        </w:tc>
        <w:tc>
          <w:tcPr>
            <w:tcW w:w="638" w:type="dxa"/>
            <w:tcBorders>
              <w:top w:val="single" w:sz="4" w:space="0" w:color="auto"/>
              <w:bottom w:val="single" w:sz="4" w:space="0" w:color="auto"/>
            </w:tcBorders>
            <w:shd w:val="clear" w:color="000000" w:fill="E7E6E6"/>
            <w:noWrap/>
            <w:vAlign w:val="center"/>
            <w:hideMark/>
          </w:tcPr>
          <w:p w14:paraId="01B3F889" w14:textId="77777777" w:rsidR="00474F2A" w:rsidRPr="00E715BC" w:rsidRDefault="00474F2A" w:rsidP="002748C7">
            <w:pPr>
              <w:jc w:val="center"/>
              <w:rPr>
                <w:rFonts w:cs="Times New Roman"/>
                <w:sz w:val="16"/>
                <w:szCs w:val="15"/>
              </w:rPr>
            </w:pPr>
            <w:r w:rsidRPr="00E715BC">
              <w:rPr>
                <w:rFonts w:cs="Times New Roman"/>
                <w:sz w:val="16"/>
                <w:szCs w:val="15"/>
              </w:rPr>
              <w:t>Febrero</w:t>
            </w:r>
          </w:p>
        </w:tc>
        <w:tc>
          <w:tcPr>
            <w:tcW w:w="558" w:type="dxa"/>
            <w:tcBorders>
              <w:top w:val="single" w:sz="4" w:space="0" w:color="auto"/>
              <w:bottom w:val="single" w:sz="4" w:space="0" w:color="auto"/>
            </w:tcBorders>
            <w:shd w:val="clear" w:color="000000" w:fill="E7E6E6"/>
            <w:noWrap/>
            <w:vAlign w:val="center"/>
            <w:hideMark/>
          </w:tcPr>
          <w:p w14:paraId="70525F9C" w14:textId="77777777" w:rsidR="00474F2A" w:rsidRPr="00E715BC" w:rsidRDefault="00474F2A" w:rsidP="002748C7">
            <w:pPr>
              <w:jc w:val="center"/>
              <w:rPr>
                <w:rFonts w:cs="Times New Roman"/>
                <w:sz w:val="16"/>
                <w:szCs w:val="15"/>
              </w:rPr>
            </w:pPr>
            <w:r w:rsidRPr="00E715BC">
              <w:rPr>
                <w:rFonts w:cs="Times New Roman"/>
                <w:sz w:val="16"/>
                <w:szCs w:val="15"/>
              </w:rPr>
              <w:t>Marzo</w:t>
            </w:r>
          </w:p>
        </w:tc>
        <w:tc>
          <w:tcPr>
            <w:tcW w:w="478" w:type="dxa"/>
            <w:tcBorders>
              <w:top w:val="single" w:sz="4" w:space="0" w:color="auto"/>
              <w:bottom w:val="single" w:sz="4" w:space="0" w:color="auto"/>
            </w:tcBorders>
            <w:shd w:val="clear" w:color="000000" w:fill="70AD47"/>
            <w:noWrap/>
            <w:vAlign w:val="center"/>
            <w:hideMark/>
          </w:tcPr>
          <w:p w14:paraId="232ACB38" w14:textId="77777777" w:rsidR="00474F2A" w:rsidRPr="00E715BC" w:rsidRDefault="00474F2A" w:rsidP="002748C7">
            <w:pPr>
              <w:jc w:val="center"/>
              <w:rPr>
                <w:rFonts w:cs="Times New Roman"/>
                <w:sz w:val="16"/>
                <w:szCs w:val="15"/>
              </w:rPr>
            </w:pPr>
            <w:r w:rsidRPr="00E715BC">
              <w:rPr>
                <w:rFonts w:cs="Times New Roman"/>
                <w:sz w:val="16"/>
                <w:szCs w:val="15"/>
              </w:rPr>
              <w:t>Abril</w:t>
            </w:r>
          </w:p>
        </w:tc>
        <w:tc>
          <w:tcPr>
            <w:tcW w:w="514" w:type="dxa"/>
            <w:tcBorders>
              <w:top w:val="single" w:sz="4" w:space="0" w:color="auto"/>
              <w:bottom w:val="single" w:sz="4" w:space="0" w:color="auto"/>
            </w:tcBorders>
            <w:shd w:val="clear" w:color="000000" w:fill="E7E6E6"/>
            <w:noWrap/>
            <w:vAlign w:val="center"/>
            <w:hideMark/>
          </w:tcPr>
          <w:p w14:paraId="3BC2F6BD" w14:textId="77777777" w:rsidR="00474F2A" w:rsidRPr="00E715BC" w:rsidRDefault="00474F2A" w:rsidP="002748C7">
            <w:pPr>
              <w:jc w:val="center"/>
              <w:rPr>
                <w:rFonts w:cs="Times New Roman"/>
                <w:sz w:val="16"/>
                <w:szCs w:val="15"/>
              </w:rPr>
            </w:pPr>
            <w:r w:rsidRPr="00E715BC">
              <w:rPr>
                <w:rFonts w:cs="Times New Roman"/>
                <w:sz w:val="16"/>
                <w:szCs w:val="15"/>
              </w:rPr>
              <w:t>Mayo</w:t>
            </w:r>
          </w:p>
        </w:tc>
        <w:tc>
          <w:tcPr>
            <w:tcW w:w="487" w:type="dxa"/>
            <w:tcBorders>
              <w:top w:val="single" w:sz="4" w:space="0" w:color="auto"/>
              <w:bottom w:val="single" w:sz="4" w:space="0" w:color="auto"/>
            </w:tcBorders>
            <w:shd w:val="clear" w:color="000000" w:fill="70AD47"/>
            <w:noWrap/>
            <w:vAlign w:val="center"/>
            <w:hideMark/>
          </w:tcPr>
          <w:p w14:paraId="418090DE" w14:textId="77777777" w:rsidR="00474F2A" w:rsidRPr="00E715BC" w:rsidRDefault="00474F2A" w:rsidP="002748C7">
            <w:pPr>
              <w:jc w:val="center"/>
              <w:rPr>
                <w:rFonts w:cs="Times New Roman"/>
                <w:sz w:val="16"/>
                <w:szCs w:val="15"/>
              </w:rPr>
            </w:pPr>
            <w:r w:rsidRPr="00E715BC">
              <w:rPr>
                <w:rFonts w:cs="Times New Roman"/>
                <w:sz w:val="16"/>
                <w:szCs w:val="15"/>
              </w:rPr>
              <w:t>Junio</w:t>
            </w:r>
          </w:p>
        </w:tc>
        <w:tc>
          <w:tcPr>
            <w:tcW w:w="452" w:type="dxa"/>
            <w:tcBorders>
              <w:top w:val="single" w:sz="4" w:space="0" w:color="auto"/>
              <w:bottom w:val="single" w:sz="4" w:space="0" w:color="auto"/>
            </w:tcBorders>
            <w:shd w:val="clear" w:color="000000" w:fill="70AD47"/>
            <w:noWrap/>
            <w:vAlign w:val="center"/>
            <w:hideMark/>
          </w:tcPr>
          <w:p w14:paraId="7C42772D" w14:textId="77777777" w:rsidR="00474F2A" w:rsidRPr="00E715BC" w:rsidRDefault="00474F2A" w:rsidP="002748C7">
            <w:pPr>
              <w:jc w:val="center"/>
              <w:rPr>
                <w:rFonts w:cs="Times New Roman"/>
                <w:sz w:val="16"/>
                <w:szCs w:val="15"/>
              </w:rPr>
            </w:pPr>
            <w:r w:rsidRPr="00E715BC">
              <w:rPr>
                <w:rFonts w:cs="Times New Roman"/>
                <w:sz w:val="16"/>
                <w:szCs w:val="15"/>
              </w:rPr>
              <w:t>Julio</w:t>
            </w:r>
          </w:p>
        </w:tc>
        <w:tc>
          <w:tcPr>
            <w:tcW w:w="603" w:type="dxa"/>
            <w:tcBorders>
              <w:top w:val="single" w:sz="4" w:space="0" w:color="auto"/>
              <w:bottom w:val="single" w:sz="4" w:space="0" w:color="auto"/>
            </w:tcBorders>
            <w:shd w:val="clear" w:color="000000" w:fill="E7E6E6"/>
            <w:noWrap/>
            <w:vAlign w:val="center"/>
            <w:hideMark/>
          </w:tcPr>
          <w:p w14:paraId="1CE2F415" w14:textId="77777777" w:rsidR="00474F2A" w:rsidRPr="00E715BC" w:rsidRDefault="00474F2A" w:rsidP="002748C7">
            <w:pPr>
              <w:jc w:val="center"/>
              <w:rPr>
                <w:rFonts w:cs="Times New Roman"/>
                <w:sz w:val="16"/>
                <w:szCs w:val="15"/>
              </w:rPr>
            </w:pPr>
            <w:r w:rsidRPr="00E715BC">
              <w:rPr>
                <w:rFonts w:cs="Times New Roman"/>
                <w:sz w:val="16"/>
                <w:szCs w:val="15"/>
              </w:rPr>
              <w:t>Agosto</w:t>
            </w:r>
          </w:p>
        </w:tc>
        <w:tc>
          <w:tcPr>
            <w:tcW w:w="869" w:type="dxa"/>
            <w:tcBorders>
              <w:top w:val="single" w:sz="4" w:space="0" w:color="auto"/>
              <w:bottom w:val="single" w:sz="4" w:space="0" w:color="auto"/>
            </w:tcBorders>
            <w:shd w:val="clear" w:color="000000" w:fill="E7E6E6"/>
            <w:noWrap/>
            <w:vAlign w:val="center"/>
            <w:hideMark/>
          </w:tcPr>
          <w:p w14:paraId="49BA917C" w14:textId="77777777" w:rsidR="00474F2A" w:rsidRPr="00E715BC" w:rsidRDefault="00474F2A" w:rsidP="002748C7">
            <w:pPr>
              <w:jc w:val="center"/>
              <w:rPr>
                <w:rFonts w:cs="Times New Roman"/>
                <w:sz w:val="16"/>
                <w:szCs w:val="15"/>
              </w:rPr>
            </w:pPr>
            <w:r w:rsidRPr="00E715BC">
              <w:rPr>
                <w:rFonts w:cs="Times New Roman"/>
                <w:sz w:val="16"/>
                <w:szCs w:val="15"/>
              </w:rPr>
              <w:t>Septiembre</w:t>
            </w:r>
          </w:p>
        </w:tc>
        <w:tc>
          <w:tcPr>
            <w:tcW w:w="656" w:type="dxa"/>
            <w:tcBorders>
              <w:top w:val="single" w:sz="4" w:space="0" w:color="auto"/>
              <w:bottom w:val="single" w:sz="4" w:space="0" w:color="auto"/>
            </w:tcBorders>
            <w:shd w:val="clear" w:color="000000" w:fill="E7E6E6"/>
            <w:noWrap/>
            <w:vAlign w:val="center"/>
            <w:hideMark/>
          </w:tcPr>
          <w:p w14:paraId="156C234F" w14:textId="77777777" w:rsidR="00474F2A" w:rsidRPr="00E715BC" w:rsidRDefault="00474F2A" w:rsidP="002748C7">
            <w:pPr>
              <w:jc w:val="center"/>
              <w:rPr>
                <w:rFonts w:cs="Times New Roman"/>
                <w:sz w:val="16"/>
                <w:szCs w:val="15"/>
              </w:rPr>
            </w:pPr>
            <w:r w:rsidRPr="00E715BC">
              <w:rPr>
                <w:rFonts w:cs="Times New Roman"/>
                <w:sz w:val="16"/>
                <w:szCs w:val="15"/>
              </w:rPr>
              <w:t>Octubre</w:t>
            </w:r>
          </w:p>
        </w:tc>
        <w:tc>
          <w:tcPr>
            <w:tcW w:w="860" w:type="dxa"/>
            <w:tcBorders>
              <w:top w:val="single" w:sz="4" w:space="0" w:color="auto"/>
              <w:bottom w:val="single" w:sz="4" w:space="0" w:color="auto"/>
            </w:tcBorders>
            <w:shd w:val="clear" w:color="000000" w:fill="E7E6E6"/>
            <w:noWrap/>
            <w:vAlign w:val="center"/>
            <w:hideMark/>
          </w:tcPr>
          <w:p w14:paraId="70933855" w14:textId="77777777" w:rsidR="00474F2A" w:rsidRPr="00E715BC" w:rsidRDefault="00474F2A" w:rsidP="002748C7">
            <w:pPr>
              <w:jc w:val="center"/>
              <w:rPr>
                <w:rFonts w:cs="Times New Roman"/>
                <w:sz w:val="16"/>
                <w:szCs w:val="15"/>
              </w:rPr>
            </w:pPr>
            <w:r w:rsidRPr="00E715BC">
              <w:rPr>
                <w:rFonts w:cs="Times New Roman"/>
                <w:sz w:val="16"/>
                <w:szCs w:val="15"/>
              </w:rPr>
              <w:t>Noviembre</w:t>
            </w:r>
          </w:p>
        </w:tc>
        <w:tc>
          <w:tcPr>
            <w:tcW w:w="592" w:type="dxa"/>
            <w:tcBorders>
              <w:top w:val="single" w:sz="4" w:space="0" w:color="auto"/>
              <w:bottom w:val="single" w:sz="4" w:space="0" w:color="auto"/>
            </w:tcBorders>
            <w:shd w:val="clear" w:color="000000" w:fill="70AD47"/>
            <w:noWrap/>
            <w:vAlign w:val="center"/>
            <w:hideMark/>
          </w:tcPr>
          <w:p w14:paraId="5AE4FC47" w14:textId="77777777" w:rsidR="00474F2A" w:rsidRPr="00E715BC" w:rsidRDefault="00474F2A" w:rsidP="002748C7">
            <w:pPr>
              <w:jc w:val="center"/>
              <w:rPr>
                <w:rFonts w:cs="Times New Roman"/>
                <w:sz w:val="16"/>
                <w:szCs w:val="15"/>
              </w:rPr>
            </w:pPr>
            <w:r w:rsidRPr="00E715BC">
              <w:rPr>
                <w:rFonts w:cs="Times New Roman"/>
                <w:sz w:val="16"/>
                <w:szCs w:val="15"/>
              </w:rPr>
              <w:t>Diciembre</w:t>
            </w:r>
          </w:p>
        </w:tc>
      </w:tr>
      <w:tr w:rsidR="00474F2A" w:rsidRPr="00E715BC" w14:paraId="22CAF111" w14:textId="77777777" w:rsidTr="002748C7">
        <w:trPr>
          <w:trHeight w:val="178"/>
        </w:trPr>
        <w:tc>
          <w:tcPr>
            <w:tcW w:w="523" w:type="dxa"/>
            <w:tcBorders>
              <w:top w:val="single" w:sz="4" w:space="0" w:color="auto"/>
            </w:tcBorders>
            <w:shd w:val="clear" w:color="auto" w:fill="auto"/>
            <w:noWrap/>
            <w:vAlign w:val="center"/>
            <w:hideMark/>
          </w:tcPr>
          <w:p w14:paraId="62E2B18D" w14:textId="77777777" w:rsidR="00474F2A" w:rsidRPr="00E715BC" w:rsidRDefault="00474F2A" w:rsidP="002748C7">
            <w:pPr>
              <w:jc w:val="center"/>
              <w:rPr>
                <w:rFonts w:cs="Times New Roman"/>
                <w:sz w:val="16"/>
                <w:szCs w:val="15"/>
              </w:rPr>
            </w:pPr>
            <w:r w:rsidRPr="00E715BC">
              <w:rPr>
                <w:rFonts w:cs="Times New Roman"/>
                <w:sz w:val="16"/>
                <w:szCs w:val="15"/>
              </w:rPr>
              <w:t>157</w:t>
            </w:r>
          </w:p>
        </w:tc>
        <w:tc>
          <w:tcPr>
            <w:tcW w:w="638" w:type="dxa"/>
            <w:tcBorders>
              <w:top w:val="single" w:sz="4" w:space="0" w:color="auto"/>
            </w:tcBorders>
            <w:shd w:val="clear" w:color="auto" w:fill="auto"/>
            <w:noWrap/>
            <w:vAlign w:val="center"/>
            <w:hideMark/>
          </w:tcPr>
          <w:p w14:paraId="2DC259E5"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558" w:type="dxa"/>
            <w:tcBorders>
              <w:top w:val="single" w:sz="4" w:space="0" w:color="auto"/>
            </w:tcBorders>
            <w:shd w:val="clear" w:color="auto" w:fill="auto"/>
            <w:noWrap/>
            <w:vAlign w:val="center"/>
            <w:hideMark/>
          </w:tcPr>
          <w:p w14:paraId="13FF80B5"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478" w:type="dxa"/>
            <w:tcBorders>
              <w:top w:val="single" w:sz="4" w:space="0" w:color="auto"/>
            </w:tcBorders>
            <w:shd w:val="clear" w:color="auto" w:fill="auto"/>
            <w:noWrap/>
            <w:vAlign w:val="center"/>
            <w:hideMark/>
          </w:tcPr>
          <w:p w14:paraId="4BF9636A" w14:textId="77777777" w:rsidR="00474F2A" w:rsidRPr="00E715BC" w:rsidRDefault="00474F2A" w:rsidP="002748C7">
            <w:pPr>
              <w:jc w:val="center"/>
              <w:rPr>
                <w:rFonts w:cs="Times New Roman"/>
                <w:sz w:val="16"/>
                <w:szCs w:val="15"/>
              </w:rPr>
            </w:pPr>
            <w:r w:rsidRPr="00E715BC">
              <w:rPr>
                <w:rFonts w:cs="Times New Roman"/>
                <w:sz w:val="16"/>
                <w:szCs w:val="15"/>
              </w:rPr>
              <w:t>157</w:t>
            </w:r>
          </w:p>
        </w:tc>
        <w:tc>
          <w:tcPr>
            <w:tcW w:w="514" w:type="dxa"/>
            <w:tcBorders>
              <w:top w:val="single" w:sz="4" w:space="0" w:color="auto"/>
            </w:tcBorders>
            <w:shd w:val="clear" w:color="auto" w:fill="auto"/>
            <w:noWrap/>
            <w:vAlign w:val="center"/>
            <w:hideMark/>
          </w:tcPr>
          <w:p w14:paraId="3967B42C"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487" w:type="dxa"/>
            <w:tcBorders>
              <w:top w:val="single" w:sz="4" w:space="0" w:color="auto"/>
            </w:tcBorders>
            <w:shd w:val="clear" w:color="auto" w:fill="auto"/>
            <w:noWrap/>
            <w:vAlign w:val="center"/>
            <w:hideMark/>
          </w:tcPr>
          <w:p w14:paraId="5A77CD94" w14:textId="77777777" w:rsidR="00474F2A" w:rsidRPr="00E715BC" w:rsidRDefault="00474F2A" w:rsidP="002748C7">
            <w:pPr>
              <w:jc w:val="center"/>
              <w:rPr>
                <w:rFonts w:cs="Times New Roman"/>
                <w:sz w:val="16"/>
                <w:szCs w:val="15"/>
              </w:rPr>
            </w:pPr>
            <w:r w:rsidRPr="00E715BC">
              <w:rPr>
                <w:rFonts w:cs="Times New Roman"/>
                <w:sz w:val="16"/>
                <w:szCs w:val="15"/>
              </w:rPr>
              <w:t>157</w:t>
            </w:r>
          </w:p>
        </w:tc>
        <w:tc>
          <w:tcPr>
            <w:tcW w:w="452" w:type="dxa"/>
            <w:tcBorders>
              <w:top w:val="single" w:sz="4" w:space="0" w:color="auto"/>
            </w:tcBorders>
            <w:shd w:val="clear" w:color="auto" w:fill="auto"/>
            <w:noWrap/>
            <w:vAlign w:val="center"/>
            <w:hideMark/>
          </w:tcPr>
          <w:p w14:paraId="41169F8D" w14:textId="77777777" w:rsidR="00474F2A" w:rsidRPr="00E715BC" w:rsidRDefault="00474F2A" w:rsidP="002748C7">
            <w:pPr>
              <w:jc w:val="center"/>
              <w:rPr>
                <w:rFonts w:cs="Times New Roman"/>
                <w:sz w:val="16"/>
                <w:szCs w:val="15"/>
              </w:rPr>
            </w:pPr>
            <w:r w:rsidRPr="00E715BC">
              <w:rPr>
                <w:rFonts w:cs="Times New Roman"/>
                <w:sz w:val="16"/>
                <w:szCs w:val="15"/>
              </w:rPr>
              <w:t>157</w:t>
            </w:r>
          </w:p>
        </w:tc>
        <w:tc>
          <w:tcPr>
            <w:tcW w:w="603" w:type="dxa"/>
            <w:tcBorders>
              <w:top w:val="single" w:sz="4" w:space="0" w:color="auto"/>
            </w:tcBorders>
            <w:shd w:val="clear" w:color="auto" w:fill="auto"/>
            <w:noWrap/>
            <w:vAlign w:val="center"/>
            <w:hideMark/>
          </w:tcPr>
          <w:p w14:paraId="1BF3B692"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869" w:type="dxa"/>
            <w:tcBorders>
              <w:top w:val="single" w:sz="4" w:space="0" w:color="auto"/>
            </w:tcBorders>
            <w:shd w:val="clear" w:color="auto" w:fill="auto"/>
            <w:noWrap/>
            <w:vAlign w:val="center"/>
            <w:hideMark/>
          </w:tcPr>
          <w:p w14:paraId="6FAFCA6A"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656" w:type="dxa"/>
            <w:tcBorders>
              <w:top w:val="single" w:sz="4" w:space="0" w:color="auto"/>
            </w:tcBorders>
            <w:shd w:val="clear" w:color="auto" w:fill="auto"/>
            <w:noWrap/>
            <w:vAlign w:val="center"/>
            <w:hideMark/>
          </w:tcPr>
          <w:p w14:paraId="45F53A5F"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860" w:type="dxa"/>
            <w:tcBorders>
              <w:top w:val="single" w:sz="4" w:space="0" w:color="auto"/>
            </w:tcBorders>
            <w:shd w:val="clear" w:color="auto" w:fill="auto"/>
            <w:noWrap/>
            <w:vAlign w:val="center"/>
            <w:hideMark/>
          </w:tcPr>
          <w:p w14:paraId="6BCD1DB5" w14:textId="77777777" w:rsidR="00474F2A" w:rsidRPr="00E715BC" w:rsidRDefault="00474F2A" w:rsidP="002748C7">
            <w:pPr>
              <w:jc w:val="center"/>
              <w:rPr>
                <w:rFonts w:cs="Times New Roman"/>
                <w:sz w:val="16"/>
                <w:szCs w:val="15"/>
              </w:rPr>
            </w:pPr>
            <w:r w:rsidRPr="00E715BC">
              <w:rPr>
                <w:rFonts w:cs="Times New Roman"/>
                <w:sz w:val="16"/>
                <w:szCs w:val="15"/>
              </w:rPr>
              <w:t>109</w:t>
            </w:r>
          </w:p>
        </w:tc>
        <w:tc>
          <w:tcPr>
            <w:tcW w:w="592" w:type="dxa"/>
            <w:tcBorders>
              <w:top w:val="single" w:sz="4" w:space="0" w:color="auto"/>
            </w:tcBorders>
            <w:shd w:val="clear" w:color="auto" w:fill="auto"/>
            <w:noWrap/>
            <w:vAlign w:val="center"/>
            <w:hideMark/>
          </w:tcPr>
          <w:p w14:paraId="36F9A8BB" w14:textId="77777777" w:rsidR="00474F2A" w:rsidRPr="00E715BC" w:rsidRDefault="00474F2A" w:rsidP="002748C7">
            <w:pPr>
              <w:jc w:val="center"/>
              <w:rPr>
                <w:rFonts w:cs="Times New Roman"/>
                <w:sz w:val="16"/>
                <w:szCs w:val="15"/>
              </w:rPr>
            </w:pPr>
            <w:r w:rsidRPr="00E715BC">
              <w:rPr>
                <w:rFonts w:cs="Times New Roman"/>
                <w:sz w:val="16"/>
                <w:szCs w:val="15"/>
              </w:rPr>
              <w:t>157</w:t>
            </w:r>
          </w:p>
        </w:tc>
      </w:tr>
    </w:tbl>
    <w:p w14:paraId="5E8ED890" w14:textId="77777777" w:rsidR="00474F2A" w:rsidRPr="00E715BC" w:rsidRDefault="00474F2A" w:rsidP="00474F2A">
      <w:pPr>
        <w:rPr>
          <w:rFonts w:eastAsia="Times New Roman" w:cs="Times New Roman"/>
          <w:kern w:val="0"/>
          <w:szCs w:val="24"/>
          <w:lang w:eastAsia="es-ES_tradnl"/>
          <w14:ligatures w14:val="none"/>
        </w:rPr>
      </w:pPr>
    </w:p>
    <w:p w14:paraId="2916FFC7" w14:textId="77777777" w:rsidR="00474F2A" w:rsidRPr="00E715BC" w:rsidRDefault="00474F2A" w:rsidP="00474F2A">
      <w:pPr>
        <w:ind w:firstLine="964"/>
        <w:rPr>
          <w:rFonts w:cs="Times New Roman"/>
        </w:rPr>
      </w:pPr>
      <w:r w:rsidRPr="00E715BC">
        <w:rPr>
          <w:rFonts w:cs="Times New Roman"/>
        </w:rPr>
        <w:t xml:space="preserve">Para hacer una estimación de la proyección de la demanda tabla 7 es necesario hallar el supuesto del crecimiento anual, debido a que el DANE no cuenta con una cifra exacta que marque la proyección de ventas en el sector del turismo, se ha decidido hacer una ponderación de los últimos (4) registros trimestrales del promedio poblacional de </w:t>
      </w:r>
      <w:r w:rsidRPr="00E715BC">
        <w:rPr>
          <w:rFonts w:cs="Times New Roman"/>
        </w:rPr>
        <w:lastRenderedPageBreak/>
        <w:t>visitantes internos en Colombia, obteniendo una tasa de crecimiento anual de 10,6 %.  (</w:t>
      </w:r>
      <w:r w:rsidRPr="00E715BC">
        <w:rPr>
          <w:rFonts w:cs="Times New Roman"/>
          <w:i/>
          <w:iCs/>
        </w:rPr>
        <w:t>Informes de Turismo | MINCIT - Ministerio de Comercio, Industria y Turismo</w:t>
      </w:r>
      <w:r w:rsidRPr="00E715BC">
        <w:rPr>
          <w:rFonts w:cs="Times New Roman"/>
        </w:rPr>
        <w:t>, 2024).</w:t>
      </w:r>
    </w:p>
    <w:p w14:paraId="725F4B9C" w14:textId="77777777" w:rsidR="00474F2A" w:rsidRDefault="00474F2A" w:rsidP="00474F2A">
      <w:pPr>
        <w:pStyle w:val="Descripcin"/>
        <w:keepNext/>
        <w:rPr>
          <w:rFonts w:cs="Times New Roman"/>
          <w:b/>
          <w:bCs/>
          <w:i w:val="0"/>
          <w:iCs w:val="0"/>
          <w:color w:val="auto"/>
          <w:sz w:val="24"/>
          <w:szCs w:val="24"/>
        </w:rPr>
      </w:pPr>
      <w:bookmarkStart w:id="7" w:name="_Toc188876758"/>
      <w:r w:rsidRPr="00E715BC">
        <w:rPr>
          <w:rFonts w:cs="Times New Roman"/>
          <w:b/>
          <w:bCs/>
          <w:i w:val="0"/>
          <w:iCs w:val="0"/>
          <w:color w:val="auto"/>
          <w:sz w:val="24"/>
          <w:szCs w:val="24"/>
        </w:rPr>
        <w:t xml:space="preserve">Tabla </w:t>
      </w:r>
      <w:r w:rsidRPr="00E715BC">
        <w:rPr>
          <w:rFonts w:cs="Times New Roman"/>
          <w:b/>
          <w:bCs/>
          <w:i w:val="0"/>
          <w:iCs w:val="0"/>
          <w:color w:val="auto"/>
          <w:sz w:val="24"/>
          <w:szCs w:val="24"/>
        </w:rPr>
        <w:fldChar w:fldCharType="begin"/>
      </w:r>
      <w:r w:rsidRPr="00E715BC">
        <w:rPr>
          <w:rFonts w:cs="Times New Roman"/>
          <w:b/>
          <w:bCs/>
          <w:i w:val="0"/>
          <w:iCs w:val="0"/>
          <w:color w:val="auto"/>
          <w:sz w:val="24"/>
          <w:szCs w:val="24"/>
        </w:rPr>
        <w:instrText xml:space="preserve"> SEQ Tabla \* ARABIC </w:instrText>
      </w:r>
      <w:r w:rsidRPr="00E715BC">
        <w:rPr>
          <w:rFonts w:cs="Times New Roman"/>
          <w:b/>
          <w:bCs/>
          <w:i w:val="0"/>
          <w:iCs w:val="0"/>
          <w:color w:val="auto"/>
          <w:sz w:val="24"/>
          <w:szCs w:val="24"/>
        </w:rPr>
        <w:fldChar w:fldCharType="separate"/>
      </w:r>
      <w:r>
        <w:rPr>
          <w:rFonts w:cs="Times New Roman"/>
          <w:b/>
          <w:bCs/>
          <w:i w:val="0"/>
          <w:iCs w:val="0"/>
          <w:noProof/>
          <w:color w:val="auto"/>
          <w:sz w:val="24"/>
          <w:szCs w:val="24"/>
        </w:rPr>
        <w:t>7</w:t>
      </w:r>
      <w:r w:rsidRPr="00E715BC">
        <w:rPr>
          <w:rFonts w:cs="Times New Roman"/>
          <w:b/>
          <w:bCs/>
          <w:i w:val="0"/>
          <w:iCs w:val="0"/>
          <w:color w:val="auto"/>
          <w:sz w:val="24"/>
          <w:szCs w:val="24"/>
        </w:rPr>
        <w:fldChar w:fldCharType="end"/>
      </w:r>
      <w:r w:rsidRPr="00E715BC">
        <w:rPr>
          <w:rFonts w:cs="Times New Roman"/>
          <w:b/>
          <w:bCs/>
          <w:i w:val="0"/>
          <w:iCs w:val="0"/>
          <w:color w:val="auto"/>
          <w:sz w:val="24"/>
          <w:szCs w:val="24"/>
        </w:rPr>
        <w:t>.</w:t>
      </w:r>
      <w:bookmarkEnd w:id="7"/>
      <w:r w:rsidRPr="00E715BC">
        <w:rPr>
          <w:rFonts w:cs="Times New Roman"/>
          <w:b/>
          <w:bCs/>
          <w:i w:val="0"/>
          <w:iCs w:val="0"/>
          <w:color w:val="auto"/>
          <w:sz w:val="24"/>
          <w:szCs w:val="24"/>
        </w:rPr>
        <w:t xml:space="preserve"> </w:t>
      </w:r>
    </w:p>
    <w:p w14:paraId="4CE4831A" w14:textId="77777777" w:rsidR="00474F2A" w:rsidRPr="00E715BC" w:rsidRDefault="00474F2A" w:rsidP="00474F2A">
      <w:pPr>
        <w:pStyle w:val="Descripcin"/>
        <w:keepNext/>
        <w:rPr>
          <w:rFonts w:cs="Times New Roman"/>
          <w:color w:val="auto"/>
          <w:sz w:val="24"/>
          <w:szCs w:val="24"/>
        </w:rPr>
      </w:pPr>
      <w:r w:rsidRPr="00E715BC">
        <w:rPr>
          <w:rFonts w:cs="Times New Roman"/>
          <w:color w:val="auto"/>
          <w:sz w:val="24"/>
          <w:szCs w:val="24"/>
        </w:rPr>
        <w:t>Proyección de la demanda</w:t>
      </w:r>
    </w:p>
    <w:tbl>
      <w:tblPr>
        <w:tblW w:w="8234" w:type="dxa"/>
        <w:tblBorders>
          <w:top w:val="single" w:sz="4" w:space="0" w:color="auto"/>
          <w:bottom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134"/>
        <w:gridCol w:w="993"/>
        <w:gridCol w:w="1134"/>
        <w:gridCol w:w="850"/>
        <w:gridCol w:w="1860"/>
      </w:tblGrid>
      <w:tr w:rsidR="00474F2A" w:rsidRPr="00E715BC" w14:paraId="76DA7733" w14:textId="77777777" w:rsidTr="002748C7">
        <w:trPr>
          <w:trHeight w:val="360"/>
        </w:trPr>
        <w:tc>
          <w:tcPr>
            <w:tcW w:w="2263" w:type="dxa"/>
            <w:vMerge w:val="restart"/>
            <w:tcBorders>
              <w:right w:val="nil"/>
            </w:tcBorders>
            <w:shd w:val="clear" w:color="000000" w:fill="FFFFFF"/>
            <w:vAlign w:val="bottom"/>
            <w:hideMark/>
          </w:tcPr>
          <w:p w14:paraId="758657C8" w14:textId="77777777" w:rsidR="00474F2A" w:rsidRPr="00E715BC" w:rsidRDefault="00474F2A"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Proyección demanda alquiler de los 10 bungalows</w:t>
            </w:r>
          </w:p>
        </w:tc>
        <w:tc>
          <w:tcPr>
            <w:tcW w:w="1134" w:type="dxa"/>
            <w:tcBorders>
              <w:left w:val="nil"/>
              <w:right w:val="nil"/>
            </w:tcBorders>
            <w:shd w:val="clear" w:color="000000" w:fill="FFFFFF"/>
            <w:vAlign w:val="center"/>
            <w:hideMark/>
          </w:tcPr>
          <w:p w14:paraId="3DE27D9B" w14:textId="77777777" w:rsidR="00474F2A" w:rsidRPr="00E715BC" w:rsidRDefault="00474F2A" w:rsidP="002748C7">
            <w:pPr>
              <w:spacing w:after="0" w:line="240" w:lineRule="auto"/>
              <w:jc w:val="center"/>
              <w:rPr>
                <w:rFonts w:eastAsia="Times New Roman" w:cs="Times New Roman"/>
                <w:b/>
                <w:bCs/>
                <w:kern w:val="0"/>
                <w:szCs w:val="24"/>
                <w:lang w:eastAsia="es-ES_tradnl"/>
                <w14:ligatures w14:val="none"/>
              </w:rPr>
            </w:pPr>
            <w:r w:rsidRPr="00E715BC">
              <w:rPr>
                <w:rFonts w:eastAsia="Times New Roman" w:cs="Times New Roman"/>
                <w:b/>
                <w:bCs/>
                <w:kern w:val="0"/>
                <w:szCs w:val="24"/>
                <w:lang w:eastAsia="es-ES_tradnl"/>
                <w14:ligatures w14:val="none"/>
              </w:rPr>
              <w:t>Año 1</w:t>
            </w:r>
          </w:p>
        </w:tc>
        <w:tc>
          <w:tcPr>
            <w:tcW w:w="993" w:type="dxa"/>
            <w:tcBorders>
              <w:left w:val="nil"/>
              <w:right w:val="nil"/>
            </w:tcBorders>
            <w:shd w:val="clear" w:color="000000" w:fill="FFFFFF"/>
            <w:vAlign w:val="center"/>
            <w:hideMark/>
          </w:tcPr>
          <w:p w14:paraId="34F97728" w14:textId="77777777" w:rsidR="00474F2A" w:rsidRPr="00E715BC" w:rsidRDefault="00474F2A" w:rsidP="002748C7">
            <w:pPr>
              <w:spacing w:after="0" w:line="240" w:lineRule="auto"/>
              <w:jc w:val="center"/>
              <w:rPr>
                <w:rFonts w:eastAsia="Times New Roman" w:cs="Times New Roman"/>
                <w:b/>
                <w:bCs/>
                <w:kern w:val="0"/>
                <w:szCs w:val="24"/>
                <w:lang w:eastAsia="es-ES_tradnl"/>
                <w14:ligatures w14:val="none"/>
              </w:rPr>
            </w:pPr>
            <w:r w:rsidRPr="00E715BC">
              <w:rPr>
                <w:rFonts w:eastAsia="Times New Roman" w:cs="Times New Roman"/>
                <w:b/>
                <w:bCs/>
                <w:kern w:val="0"/>
                <w:szCs w:val="24"/>
                <w:lang w:eastAsia="es-ES_tradnl"/>
                <w14:ligatures w14:val="none"/>
              </w:rPr>
              <w:t>Año 2</w:t>
            </w:r>
          </w:p>
        </w:tc>
        <w:tc>
          <w:tcPr>
            <w:tcW w:w="1134" w:type="dxa"/>
            <w:tcBorders>
              <w:left w:val="nil"/>
              <w:right w:val="nil"/>
            </w:tcBorders>
            <w:shd w:val="clear" w:color="000000" w:fill="FFFFFF"/>
            <w:vAlign w:val="center"/>
            <w:hideMark/>
          </w:tcPr>
          <w:p w14:paraId="615CF6D2" w14:textId="77777777" w:rsidR="00474F2A" w:rsidRPr="00E715BC" w:rsidRDefault="00474F2A" w:rsidP="002748C7">
            <w:pPr>
              <w:spacing w:after="0" w:line="240" w:lineRule="auto"/>
              <w:jc w:val="center"/>
              <w:rPr>
                <w:rFonts w:eastAsia="Times New Roman" w:cs="Times New Roman"/>
                <w:b/>
                <w:bCs/>
                <w:kern w:val="0"/>
                <w:szCs w:val="24"/>
                <w:lang w:eastAsia="es-ES_tradnl"/>
                <w14:ligatures w14:val="none"/>
              </w:rPr>
            </w:pPr>
            <w:r w:rsidRPr="00E715BC">
              <w:rPr>
                <w:rFonts w:eastAsia="Times New Roman" w:cs="Times New Roman"/>
                <w:b/>
                <w:bCs/>
                <w:kern w:val="0"/>
                <w:szCs w:val="24"/>
                <w:lang w:eastAsia="es-ES_tradnl"/>
                <w14:ligatures w14:val="none"/>
              </w:rPr>
              <w:t>Año 3</w:t>
            </w:r>
          </w:p>
        </w:tc>
        <w:tc>
          <w:tcPr>
            <w:tcW w:w="850" w:type="dxa"/>
            <w:tcBorders>
              <w:left w:val="nil"/>
              <w:right w:val="nil"/>
            </w:tcBorders>
            <w:shd w:val="clear" w:color="000000" w:fill="FFFFFF"/>
            <w:vAlign w:val="center"/>
            <w:hideMark/>
          </w:tcPr>
          <w:p w14:paraId="4675C675" w14:textId="77777777" w:rsidR="00474F2A" w:rsidRPr="00E715BC" w:rsidRDefault="00474F2A" w:rsidP="002748C7">
            <w:pPr>
              <w:spacing w:after="0" w:line="240" w:lineRule="auto"/>
              <w:jc w:val="center"/>
              <w:rPr>
                <w:rFonts w:eastAsia="Times New Roman" w:cs="Times New Roman"/>
                <w:b/>
                <w:bCs/>
                <w:kern w:val="0"/>
                <w:szCs w:val="24"/>
                <w:lang w:eastAsia="es-ES_tradnl"/>
                <w14:ligatures w14:val="none"/>
              </w:rPr>
            </w:pPr>
            <w:r w:rsidRPr="00E715BC">
              <w:rPr>
                <w:rFonts w:eastAsia="Times New Roman" w:cs="Times New Roman"/>
                <w:b/>
                <w:bCs/>
                <w:kern w:val="0"/>
                <w:szCs w:val="24"/>
                <w:lang w:eastAsia="es-ES_tradnl"/>
                <w14:ligatures w14:val="none"/>
              </w:rPr>
              <w:t>Año 4</w:t>
            </w:r>
          </w:p>
        </w:tc>
        <w:tc>
          <w:tcPr>
            <w:tcW w:w="1860" w:type="dxa"/>
            <w:tcBorders>
              <w:left w:val="nil"/>
            </w:tcBorders>
            <w:shd w:val="clear" w:color="000000" w:fill="FFFFFF"/>
            <w:vAlign w:val="center"/>
            <w:hideMark/>
          </w:tcPr>
          <w:p w14:paraId="2F4B4D1F" w14:textId="77777777" w:rsidR="00474F2A" w:rsidRPr="00E715BC" w:rsidRDefault="00474F2A" w:rsidP="002748C7">
            <w:pPr>
              <w:spacing w:after="0" w:line="240" w:lineRule="auto"/>
              <w:jc w:val="center"/>
              <w:rPr>
                <w:rFonts w:eastAsia="Times New Roman" w:cs="Times New Roman"/>
                <w:b/>
                <w:bCs/>
                <w:kern w:val="0"/>
                <w:szCs w:val="24"/>
                <w:lang w:eastAsia="es-ES_tradnl"/>
                <w14:ligatures w14:val="none"/>
              </w:rPr>
            </w:pPr>
            <w:r w:rsidRPr="00E715BC">
              <w:rPr>
                <w:rFonts w:eastAsia="Times New Roman" w:cs="Times New Roman"/>
                <w:b/>
                <w:bCs/>
                <w:kern w:val="0"/>
                <w:szCs w:val="24"/>
                <w:lang w:eastAsia="es-ES_tradnl"/>
                <w14:ligatures w14:val="none"/>
              </w:rPr>
              <w:t>Año 5</w:t>
            </w:r>
          </w:p>
        </w:tc>
      </w:tr>
      <w:tr w:rsidR="00474F2A" w:rsidRPr="00E715BC" w14:paraId="47FC7846" w14:textId="77777777" w:rsidTr="002748C7">
        <w:trPr>
          <w:trHeight w:val="320"/>
        </w:trPr>
        <w:tc>
          <w:tcPr>
            <w:tcW w:w="2263" w:type="dxa"/>
            <w:vMerge/>
            <w:tcBorders>
              <w:right w:val="nil"/>
            </w:tcBorders>
            <w:vAlign w:val="center"/>
            <w:hideMark/>
          </w:tcPr>
          <w:p w14:paraId="361BD0AC" w14:textId="77777777" w:rsidR="00474F2A" w:rsidRPr="00E715BC" w:rsidRDefault="00474F2A" w:rsidP="002748C7">
            <w:pPr>
              <w:spacing w:after="0" w:line="240" w:lineRule="auto"/>
              <w:jc w:val="left"/>
              <w:rPr>
                <w:rFonts w:eastAsia="Times New Roman" w:cs="Times New Roman"/>
                <w:b/>
                <w:bCs/>
                <w:kern w:val="0"/>
                <w:sz w:val="20"/>
                <w:szCs w:val="20"/>
                <w:lang w:eastAsia="es-ES_tradnl"/>
                <w14:ligatures w14:val="none"/>
              </w:rPr>
            </w:pPr>
          </w:p>
        </w:tc>
        <w:tc>
          <w:tcPr>
            <w:tcW w:w="1134" w:type="dxa"/>
            <w:tcBorders>
              <w:left w:val="nil"/>
              <w:right w:val="nil"/>
            </w:tcBorders>
            <w:shd w:val="clear" w:color="auto" w:fill="auto"/>
            <w:noWrap/>
            <w:vAlign w:val="bottom"/>
            <w:hideMark/>
          </w:tcPr>
          <w:p w14:paraId="642114BF" w14:textId="77777777" w:rsidR="00474F2A" w:rsidRPr="00E715BC" w:rsidRDefault="00474F2A" w:rsidP="002748C7">
            <w:pPr>
              <w:spacing w:after="0" w:line="240" w:lineRule="auto"/>
              <w:jc w:val="right"/>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1548</w:t>
            </w:r>
          </w:p>
        </w:tc>
        <w:tc>
          <w:tcPr>
            <w:tcW w:w="993" w:type="dxa"/>
            <w:tcBorders>
              <w:left w:val="nil"/>
              <w:right w:val="nil"/>
            </w:tcBorders>
            <w:shd w:val="clear" w:color="000000" w:fill="F2F2F2"/>
            <w:vAlign w:val="center"/>
            <w:hideMark/>
          </w:tcPr>
          <w:p w14:paraId="6425E16A" w14:textId="77777777" w:rsidR="00474F2A" w:rsidRPr="00E715BC" w:rsidRDefault="00474F2A" w:rsidP="002748C7">
            <w:pPr>
              <w:spacing w:after="0" w:line="240" w:lineRule="auto"/>
              <w:jc w:val="cente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1712</w:t>
            </w:r>
          </w:p>
        </w:tc>
        <w:tc>
          <w:tcPr>
            <w:tcW w:w="1134" w:type="dxa"/>
            <w:tcBorders>
              <w:left w:val="nil"/>
              <w:right w:val="nil"/>
            </w:tcBorders>
            <w:shd w:val="clear" w:color="000000" w:fill="F2F2F2"/>
            <w:vAlign w:val="center"/>
            <w:hideMark/>
          </w:tcPr>
          <w:p w14:paraId="1C458D48" w14:textId="77777777" w:rsidR="00474F2A" w:rsidRPr="00E715BC" w:rsidRDefault="00474F2A" w:rsidP="002748C7">
            <w:pPr>
              <w:spacing w:after="0" w:line="240" w:lineRule="auto"/>
              <w:jc w:val="cente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1894</w:t>
            </w:r>
          </w:p>
        </w:tc>
        <w:tc>
          <w:tcPr>
            <w:tcW w:w="850" w:type="dxa"/>
            <w:tcBorders>
              <w:left w:val="nil"/>
              <w:right w:val="nil"/>
            </w:tcBorders>
            <w:shd w:val="clear" w:color="000000" w:fill="F2F2F2"/>
            <w:vAlign w:val="center"/>
            <w:hideMark/>
          </w:tcPr>
          <w:p w14:paraId="3349BA9B" w14:textId="77777777" w:rsidR="00474F2A" w:rsidRPr="00E715BC" w:rsidRDefault="00474F2A" w:rsidP="002748C7">
            <w:pPr>
              <w:spacing w:after="0" w:line="240" w:lineRule="auto"/>
              <w:jc w:val="cente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2094</w:t>
            </w:r>
          </w:p>
        </w:tc>
        <w:tc>
          <w:tcPr>
            <w:tcW w:w="1860" w:type="dxa"/>
            <w:tcBorders>
              <w:left w:val="nil"/>
            </w:tcBorders>
            <w:shd w:val="clear" w:color="000000" w:fill="F2F2F2"/>
            <w:vAlign w:val="center"/>
            <w:hideMark/>
          </w:tcPr>
          <w:p w14:paraId="2E888FAC" w14:textId="77777777" w:rsidR="00474F2A" w:rsidRPr="00E715BC" w:rsidRDefault="00474F2A" w:rsidP="002748C7">
            <w:pPr>
              <w:spacing w:after="0" w:line="240" w:lineRule="auto"/>
              <w:jc w:val="cente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2316</w:t>
            </w:r>
          </w:p>
        </w:tc>
      </w:tr>
    </w:tbl>
    <w:p w14:paraId="3B9EF783" w14:textId="77777777" w:rsidR="00474F2A" w:rsidRPr="00E715BC" w:rsidRDefault="00474F2A" w:rsidP="00474F2A">
      <w:pPr>
        <w:rPr>
          <w:rFonts w:cs="Times New Roman"/>
        </w:rPr>
      </w:pPr>
      <w:r w:rsidRPr="00E715BC">
        <w:rPr>
          <w:rFonts w:cs="Times New Roman"/>
          <w:i/>
          <w:iCs/>
        </w:rPr>
        <w:t>Nota:</w:t>
      </w:r>
      <w:r w:rsidRPr="00E715BC">
        <w:rPr>
          <w:rFonts w:cs="Times New Roman"/>
        </w:rPr>
        <w:t xml:space="preserve"> proyección de demanda con crecimiento anual. Fuente: Autor. </w:t>
      </w:r>
    </w:p>
    <w:p w14:paraId="4CB8621F"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F2A"/>
    <w:rsid w:val="00051166"/>
    <w:rsid w:val="00146F95"/>
    <w:rsid w:val="001B30EB"/>
    <w:rsid w:val="003B678D"/>
    <w:rsid w:val="00474F2A"/>
    <w:rsid w:val="004C6424"/>
    <w:rsid w:val="007208F6"/>
    <w:rsid w:val="009D43F8"/>
    <w:rsid w:val="00B47AC1"/>
    <w:rsid w:val="00CE480C"/>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15F51"/>
  <w15:chartTrackingRefBased/>
  <w15:docId w15:val="{B2B4CE8A-7A54-6940-846C-C1AC3B9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F2A"/>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after="0" w:line="360" w:lineRule="auto"/>
      <w:jc w:val="center"/>
      <w:outlineLvl w:val="0"/>
    </w:pPr>
    <w:rPr>
      <w:rFonts w:eastAsiaTheme="majorEastAsia" w:cstheme="majorBidi"/>
      <w:b/>
      <w:bCs/>
      <w:kern w:val="0"/>
      <w:szCs w:val="28"/>
      <w:lang w:eastAsia="es-ES_tradnl"/>
      <w14:ligatures w14:val="none"/>
    </w:rPr>
  </w:style>
  <w:style w:type="paragraph" w:styleId="Ttulo2">
    <w:name w:val="heading 2"/>
    <w:basedOn w:val="Normal"/>
    <w:next w:val="Normal"/>
    <w:link w:val="Ttulo2Car"/>
    <w:autoRedefine/>
    <w:uiPriority w:val="9"/>
    <w:unhideWhenUsed/>
    <w:qFormat/>
    <w:rsid w:val="007208F6"/>
    <w:pPr>
      <w:keepNext/>
      <w:keepLines/>
      <w:spacing w:before="40" w:after="0"/>
      <w:jc w:val="center"/>
      <w:outlineLvl w:val="1"/>
    </w:pPr>
    <w:rPr>
      <w:rFonts w:eastAsiaTheme="majorEastAsia" w:cstheme="majorBidi"/>
      <w:b/>
      <w:color w:val="000000" w:themeColor="text1"/>
      <w:kern w:val="0"/>
      <w:szCs w:val="26"/>
      <w:lang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paragraph" w:styleId="Descripcin">
    <w:name w:val="caption"/>
    <w:basedOn w:val="Normal"/>
    <w:next w:val="Normal"/>
    <w:uiPriority w:val="35"/>
    <w:unhideWhenUsed/>
    <w:qFormat/>
    <w:rsid w:val="00474F2A"/>
    <w:pPr>
      <w:spacing w:after="200" w:line="240" w:lineRule="auto"/>
    </w:pPr>
    <w:rPr>
      <w:i/>
      <w:iCs/>
      <w:color w:val="44546A" w:themeColor="text2"/>
      <w:sz w:val="18"/>
      <w:szCs w:val="18"/>
    </w:rPr>
  </w:style>
  <w:style w:type="table" w:styleId="Tabladelista7concolores">
    <w:name w:val="List Table 7 Colorful"/>
    <w:basedOn w:val="Tablanormal"/>
    <w:uiPriority w:val="52"/>
    <w:rsid w:val="00474F2A"/>
    <w:rPr>
      <w:rFonts w:eastAsiaTheme="minorHAnsi"/>
      <w:color w:val="000000" w:themeColor="text1"/>
      <w:kern w:val="2"/>
      <w:sz w:val="22"/>
      <w:szCs w:val="2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1000</Words>
  <Characters>5502</Characters>
  <Application>Microsoft Office Word</Application>
  <DocSecurity>0</DocSecurity>
  <Lines>45</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2025-03-20T01:25:00Z</dcterms:created>
  <dcterms:modified xsi:type="dcterms:W3CDTF">2025-05-01T13:22:00Z</dcterms:modified>
</cp:coreProperties>
</file>